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Planning — Funzionalità analizzate</w:t>
      </w:r>
    </w:p>
    <w:p>
      <w:r>
        <w:rPr>
          <w:i/>
          <w:color w:val="666666"/>
        </w:rPr>
        <w:t>Confronto tra i prototipi di Gloria (G) ed Elena (E)</w:t>
      </w:r>
    </w:p>
    <w:p/>
    <w:p>
      <w:pPr>
        <w:pStyle w:val="Heading1"/>
      </w:pPr>
      <w:r>
        <w:rPr>
          <w:color w:val="3E00FB"/>
        </w:rPr>
        <w:t>Modulo Planning — lista pianificazioni</w:t>
      </w:r>
    </w:p>
    <w:p>
      <w:pPr>
        <w:pStyle w:val="ListBullet"/>
      </w:pPr>
      <w:r>
        <w:rPr>
          <w:sz w:val="20"/>
        </w:rPr>
        <w:t xml:space="preserve">KPI card (da pianificare / bozze / senza impianti)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Colonna Agente + "Prendi in carico"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Stati pianificazione con flusso di avanzamento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Modalità sola lettura per pianificazioni completate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Colonne tabella: nome, tipo, stato, date, inserzionista, budget, obiettivo, campagna associata, facce, agente, creata il, azioni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Drawer creazione nuova pianificazione (nome, campagna collegata, brief, obiettivi) </w:t>
      </w:r>
      <w:r>
        <w:rPr>
          <w:b/>
          <w:color w:val="FF4A1C"/>
          <w:sz w:val="18"/>
        </w:rPr>
        <w:t>(G)</w:t>
      </w:r>
    </w:p>
    <w:p>
      <w:pPr>
        <w:pStyle w:val="Heading1"/>
      </w:pPr>
      <w:r>
        <w:rPr>
          <w:color w:val="3E00FB"/>
        </w:rPr>
        <w:t>Navbar</w:t>
      </w:r>
    </w:p>
    <w:p>
      <w:pPr>
        <w:pStyle w:val="ListBullet"/>
      </w:pPr>
      <w:r>
        <w:rPr>
          <w:sz w:val="20"/>
        </w:rPr>
        <w:t xml:space="preserve">Logotipo esteso (Gravity_type.svg)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Altezza e struttura con Ant Design Menu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Voci menu con sottomenu Distribuzione → Campagne / Pianificazioni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Avatar utente con immagine reale e fallback </w:t>
      </w:r>
      <w:r>
        <w:rPr>
          <w:b/>
          <w:color w:val="FF4A1C"/>
          <w:sz w:val="18"/>
        </w:rPr>
        <w:t>(E)</w:t>
      </w:r>
    </w:p>
    <w:p>
      <w:pPr>
        <w:pStyle w:val="Heading1"/>
      </w:pPr>
      <w:r>
        <w:rPr>
          <w:color w:val="3E00FB"/>
        </w:rPr>
        <w:t>Schermata selezione impianti — layout generale</w:t>
      </w:r>
    </w:p>
    <w:p>
      <w:pPr>
        <w:pStyle w:val="ListBullet"/>
      </w:pPr>
      <w:r>
        <w:rPr>
          <w:sz w:val="20"/>
        </w:rPr>
        <w:t xml:space="preserve">Header con titolo + nome campagna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Brief come sidebar sinistra collassabile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Mappa centrale (Leaflet, CartoDB Light)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Pannello destra con tab Risultati / Selezionati, collassabile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Info box sulla mappa (contatori dinamici, filtri attivi, toggle "solo selezionati")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Accesso al flusso tramite "Inizia a pianificare" dal dettaglio </w:t>
      </w:r>
      <w:r>
        <w:rPr>
          <w:b/>
          <w:color w:val="FF4A1C"/>
          <w:sz w:val="18"/>
        </w:rPr>
        <w:t>(G)</w:t>
      </w:r>
    </w:p>
    <w:p>
      <w:pPr>
        <w:pStyle w:val="Heading1"/>
      </w:pPr>
      <w:r>
        <w:rPr>
          <w:color w:val="3E00FB"/>
        </w:rPr>
        <w:t>Barra di ricerca</w:t>
      </w:r>
    </w:p>
    <w:p>
      <w:pPr>
        <w:pStyle w:val="ListBullet"/>
      </w:pPr>
      <w:r>
        <w:rPr>
          <w:sz w:val="20"/>
        </w:rPr>
        <w:t xml:space="preserve">Search group unificato (scope + autocomplete + bottone)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Altezza ridotta (36px)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Placeholder animato typewriter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Autocomplete con suggerimenti geografici raggruppati e highlight match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Scope selector (Indirizzo / Comune / Provincia / Regione / Cimasa / Codice impianto) </w:t>
      </w:r>
      <w:r>
        <w:rPr>
          <w:b/>
          <w:color w:val="FF4A1C"/>
          <w:sz w:val="18"/>
        </w:rPr>
        <w:t>(G, E)</w:t>
      </w:r>
    </w:p>
    <w:p>
      <w:pPr>
        <w:pStyle w:val="Heading1"/>
      </w:pPr>
      <w:r>
        <w:rPr>
          <w:color w:val="3E00FB"/>
        </w:rPr>
        <w:t>Quick pills / chip</w:t>
      </w:r>
    </w:p>
    <w:p>
      <w:pPr>
        <w:pStyle w:val="ListBullet"/>
      </w:pPr>
      <w:r>
        <w:rPr>
          <w:sz w:val="20"/>
        </w:rPr>
        <w:t xml:space="preserve">Pills tipo impianto dinamiche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Pills formato dinamiche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Stato dashed/solid (suggerimento vs filtro attivo)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Smart toggle tipologia (doppio click ripristina "tutti")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Chip zona con flyTo sulla mappa </w:t>
      </w:r>
      <w:r>
        <w:rPr>
          <w:b/>
          <w:color w:val="FF4A1C"/>
          <w:sz w:val="18"/>
        </w:rPr>
        <w:t>(G)</w:t>
      </w:r>
    </w:p>
    <w:p>
      <w:pPr>
        <w:pStyle w:val="Heading1"/>
      </w:pPr>
      <w:r>
        <w:rPr>
          <w:color w:val="3E00FB"/>
        </w:rPr>
        <w:t>Filtri avanzati (drawer)</w:t>
      </w:r>
    </w:p>
    <w:p>
      <w:pPr>
        <w:pStyle w:val="ListBullet"/>
      </w:pPr>
      <w:r>
        <w:rPr>
          <w:sz w:val="20"/>
        </w:rPr>
        <w:t xml:space="preserve">Disponibilità / stato commerciale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Tipologia impianto (18 tipi granulari o 3 gruppi generici)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Formato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Illuminazione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Modello di vendita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Numero facce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Zone (TreeSelect gerarchico)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Proprietario impianto (Proprietario / Fornito)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Contatore filtri attivi + "Reimposta tutto"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Chip filtri attivi nella toolbar (tutte le sorgenti unificate, rimovibili) </w:t>
      </w:r>
      <w:r>
        <w:rPr>
          <w:b/>
          <w:color w:val="FF4A1C"/>
          <w:sz w:val="18"/>
        </w:rPr>
        <w:t>(G, E)</w:t>
      </w:r>
    </w:p>
    <w:p>
      <w:pPr>
        <w:pStyle w:val="Heading1"/>
      </w:pPr>
      <w:r>
        <w:rPr>
          <w:color w:val="3E00FB"/>
        </w:rPr>
        <w:t>Mappa</w:t>
      </w:r>
    </w:p>
    <w:p>
      <w:pPr>
        <w:pStyle w:val="ListBullet"/>
      </w:pPr>
      <w:r>
        <w:rPr>
          <w:sz w:val="20"/>
        </w:rPr>
        <w:t xml:space="preserve">Provider Leaflet vs Google Maps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Marker SVG per tipologia (OOH/DOOH) con stato colore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Dimensione marker responsiva allo zoom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Clustering automatico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Impianti premium con marker speciale (★)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Cerchi POI con raggio configurabile </w:t>
      </w:r>
      <w:r>
        <w:rPr>
          <w:b/>
          <w:color w:val="FF4A1C"/>
          <w:sz w:val="18"/>
        </w:rPr>
        <w:t>(E)</w:t>
      </w:r>
    </w:p>
    <w:p>
      <w:pPr>
        <w:pStyle w:val="Heading1"/>
      </w:pPr>
      <w:r>
        <w:rPr>
          <w:color w:val="3E00FB"/>
        </w:rPr>
        <w:t>Sistema POI</w:t>
      </w:r>
    </w:p>
    <w:p>
      <w:pPr>
        <w:pStyle w:val="ListBullet"/>
      </w:pPr>
      <w:r>
        <w:rPr>
          <w:sz w:val="20"/>
        </w:rPr>
        <w:t xml:space="preserve">Drawer dedicato con categorie rapide e ricerca libera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Slider raggio individuale per POI (100m–2km)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"Le mie collezioni"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Filtro per prossimità (formula haversine)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Sincronizzazione bidirezionale mappa ↔ pannello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Chip "POI · categoria" rimovibile nella toolbar </w:t>
      </w:r>
      <w:r>
        <w:rPr>
          <w:b/>
          <w:color w:val="FF4A1C"/>
          <w:sz w:val="18"/>
        </w:rPr>
        <w:t>(E)</w:t>
      </w:r>
    </w:p>
    <w:p>
      <w:pPr>
        <w:pStyle w:val="Heading1"/>
      </w:pPr>
      <w:r>
        <w:rPr>
          <w:color w:val="3E00FB"/>
        </w:rPr>
        <w:t>Lista impianti (pannello)</w:t>
      </w:r>
    </w:p>
    <w:p>
      <w:pPr>
        <w:pStyle w:val="ListBullet"/>
      </w:pPr>
      <w:r>
        <w:rPr>
          <w:sz w:val="20"/>
        </w:rPr>
        <w:t xml:space="preserve">Accordion per impianto con barra colorata sinistra (stato)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Tabella facce OOH (tipo, coordinate, orientamento, cono, formato, illuminazione, modello vendita, slots, stato)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Tabella facce DOOH (tipo, coordinate, orientamento, cono, risoluzione, screen res., orario, slots, stato)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Colonna Slots (quadratini colorati per disponibilità parziale)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Badge facce (N/M disp.) con colore progressivo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Separazione impianti non disponibili in sezione collassata </w:t>
      </w:r>
      <w:r>
        <w:rPr>
          <w:b/>
          <w:color w:val="FF4A1C"/>
          <w:sz w:val="18"/>
        </w:rPr>
        <w:t>(E)</w:t>
      </w:r>
    </w:p>
    <w:p>
      <w:pPr>
        <w:pStyle w:val="Heading1"/>
      </w:pPr>
      <w:r>
        <w:rPr>
          <w:color w:val="3E00FB"/>
        </w:rPr>
        <w:t>Selezione</w:t>
      </w:r>
    </w:p>
    <w:p>
      <w:pPr>
        <w:pStyle w:val="ListBullet"/>
      </w:pPr>
      <w:r>
        <w:rPr>
          <w:sz w:val="20"/>
        </w:rPr>
        <w:t xml:space="preserve">Selezione a due livelli: impianto + singola faccia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Checkbox con stato indeterminate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Impianti fully reserved disabilitati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"Seleziona tutti / Deseleziona tutti" (rispetta i filtri attivi)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Toolbar con contatore impianti selezionabili </w:t>
      </w:r>
      <w:r>
        <w:rPr>
          <w:b/>
          <w:color w:val="FF4A1C"/>
          <w:sz w:val="18"/>
        </w:rPr>
        <w:t>(G, E)</w:t>
      </w:r>
    </w:p>
    <w:p>
      <w:pPr>
        <w:pStyle w:val="Heading1"/>
      </w:pPr>
      <w:r>
        <w:rPr>
          <w:color w:val="3E00FB"/>
        </w:rPr>
        <w:t>Sistema di etichette</w:t>
      </w:r>
    </w:p>
    <w:p>
      <w:pPr>
        <w:pStyle w:val="ListBullet"/>
      </w:pPr>
      <w:r>
        <w:rPr>
          <w:sz w:val="20"/>
        </w:rPr>
        <w:t xml:space="preserve">Tag colorati per impianto (Prioritario, Da verificare, Confermato)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Creazione inline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Personali o condivise (punto aperto) </w:t>
      </w:r>
      <w:r>
        <w:rPr>
          <w:b/>
          <w:color w:val="FF4A1C"/>
          <w:sz w:val="18"/>
        </w:rPr>
        <w:t>(G)</w:t>
      </w:r>
    </w:p>
    <w:p>
      <w:pPr>
        <w:pStyle w:val="Heading1"/>
      </w:pPr>
      <w:r>
        <w:rPr>
          <w:color w:val="3E00FB"/>
        </w:rPr>
        <w:t>Modello dati</w:t>
      </w:r>
    </w:p>
    <w:p>
      <w:pPr>
        <w:pStyle w:val="ListBullet"/>
      </w:pPr>
      <w:r>
        <w:rPr>
          <w:sz w:val="20"/>
        </w:rPr>
        <w:t xml:space="preserve">Struttura impianto con facce (OOH e DOOH)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18 tipologie impianto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Colori di stato ridefiniti (riservato viola, opzione rosa)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Scala reale: 4.467 impianti (implicazioni su paginazione e filtri server-side) </w:t>
      </w:r>
      <w:r>
        <w:rPr>
          <w:b/>
          <w:color w:val="FF4A1C"/>
          <w:sz w:val="18"/>
        </w:rPr>
        <w:t>(G)</w:t>
      </w:r>
    </w:p>
    <w:p>
      <w:pPr>
        <w:pStyle w:val="Heading1"/>
      </w:pPr>
      <w:r>
        <w:rPr>
          <w:color w:val="3E00FB"/>
        </w:rPr>
        <w:t>Lingua e nomenclatura</w:t>
      </w:r>
    </w:p>
    <w:p>
      <w:pPr>
        <w:pStyle w:val="ListBullet"/>
      </w:pPr>
      <w:r>
        <w:rPr>
          <w:sz w:val="20"/>
        </w:rPr>
        <w:t xml:space="preserve">Interfaccia completamente in italiano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Terminologia corretta di dominio (Utenza, Cimasa, slot) </w:t>
      </w:r>
      <w:r>
        <w:rPr>
          <w:b/>
          <w:color w:val="FF4A1C"/>
          <w:sz w:val="18"/>
        </w:rPr>
        <w:t>(E)</w:t>
      </w:r>
    </w:p>
    <w:p>
      <w:pPr>
        <w:pStyle w:val="ListBullet"/>
      </w:pPr>
      <w:r>
        <w:rPr>
          <w:sz w:val="20"/>
        </w:rPr>
        <w:t xml:space="preserve">Allineamento con il linguaggio del team commerciale </w:t>
      </w:r>
      <w:r>
        <w:rPr>
          <w:b/>
          <w:color w:val="FF4A1C"/>
          <w:sz w:val="18"/>
        </w:rPr>
        <w:t>(G)</w:t>
      </w:r>
    </w:p>
    <w:p>
      <w:pPr>
        <w:pStyle w:val="Heading1"/>
      </w:pPr>
      <w:r>
        <w:rPr>
          <w:color w:val="3E00FB"/>
        </w:rPr>
        <w:t>CTA e flusso</w:t>
      </w:r>
    </w:p>
    <w:p>
      <w:pPr>
        <w:pStyle w:val="ListBullet"/>
      </w:pPr>
      <w:r>
        <w:rPr>
          <w:sz w:val="20"/>
        </w:rPr>
        <w:t xml:space="preserve">Gerarchia bottoni: "Conferma e procedi" come unico primary nel drawer </w:t>
      </w:r>
      <w:r>
        <w:rPr>
          <w:b/>
          <w:color w:val="FF4A1C"/>
          <w:sz w:val="18"/>
        </w:rPr>
        <w:t>(G, E)</w:t>
      </w:r>
    </w:p>
    <w:p>
      <w:pPr>
        <w:pStyle w:val="ListBullet"/>
      </w:pPr>
      <w:r>
        <w:rPr>
          <w:sz w:val="20"/>
        </w:rPr>
        <w:t xml:space="preserve">"Salva" vs "Salva ed Esci" (prodotto attuale)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"Prendi in carico" per assegnazione pianificazione </w:t>
      </w:r>
      <w:r>
        <w:rPr>
          <w:b/>
          <w:color w:val="FF4A1C"/>
          <w:sz w:val="18"/>
        </w:rPr>
        <w:t>(G)</w:t>
      </w:r>
    </w:p>
    <w:p>
      <w:pPr>
        <w:pStyle w:val="Heading1"/>
      </w:pPr>
      <w:r>
        <w:rPr>
          <w:color w:val="3E00FB"/>
        </w:rPr>
        <w:t>Feature roadmap ("in arrivo")</w:t>
      </w:r>
    </w:p>
    <w:p>
      <w:pPr>
        <w:pStyle w:val="ListBullet"/>
      </w:pPr>
      <w:r>
        <w:rPr>
          <w:sz w:val="20"/>
        </w:rPr>
        <w:t xml:space="preserve">Suggerisci POI per settore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Ottimizza selezione con AI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Blocco budget a soglia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Pianificazione automatica </w:t>
      </w:r>
      <w:r>
        <w:rPr>
          <w:b/>
          <w:color w:val="FF4A1C"/>
          <w:sz w:val="18"/>
        </w:rPr>
        <w:t>(G)</w:t>
      </w:r>
    </w:p>
    <w:p>
      <w:pPr>
        <w:pStyle w:val="ListBullet"/>
      </w:pPr>
      <w:r>
        <w:rPr>
          <w:sz w:val="20"/>
        </w:rPr>
        <w:t xml:space="preserve">Previsione performance </w:t>
      </w:r>
      <w:r>
        <w:rPr>
          <w:b/>
          <w:color w:val="FF4A1C"/>
          <w:sz w:val="18"/>
        </w:rPr>
        <w:t>(G)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