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  <w:jc w:val="center"/>
      </w:pPr>
      <w:r>
        <w:rPr>
          <w:rFonts w:ascii="Times New Roman" w:hAnsi="Times New Roman" w:eastAsia="Noto Sans CJK SC"/>
          <w:b/>
          <w:color w:val="1F4E79"/>
          <w:sz w:val="36"/>
        </w:rPr>
        <w:t>面部关键点检测与对称轴预测</w:t>
      </w:r>
      <w:r>
        <w:rPr>
          <w:rFonts w:ascii="Times New Roman" w:hAnsi="Times New Roman" w:eastAsia="Noto Sans CJK SC"/>
          <w:b/>
          <w:color w:val="1F4E79"/>
          <w:sz w:val="36"/>
        </w:rPr>
        <w:br w:type="textWrapping"/>
      </w:r>
      <w:r>
        <w:rPr>
          <w:rFonts w:ascii="Times New Roman" w:hAnsi="Times New Roman" w:eastAsia="Noto Sans CJK SC"/>
          <w:b/>
          <w:color w:val="1F4E79"/>
          <w:sz w:val="36"/>
        </w:rPr>
        <w:t>对比模型补充实验及数据清单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Noto Sans CJK SC"/>
          <w:b w:val="0"/>
          <w:sz w:val="21"/>
        </w:rPr>
        <w:t>本文件用于指导在现有单模型研究基础上，分别为“29个面部关键点检测”和“专家监督式对称轴预测”增加3个对比模型。核心原则是：所有模型使用相同的数据划分、参考标准、输入尺寸、评价对象和统计方法，从而保证比较结果具有可解释性和可重复性。</w:t>
      </w:r>
    </w:p>
    <w:p>
      <w:pPr>
        <w:pStyle w:val="3"/>
        <w:keepNext/>
        <w:spacing w:before="160" w:after="80"/>
      </w:pPr>
      <w:r>
        <w:rPr>
          <w:rFonts w:ascii="Times New Roman" w:hAnsi="Times New Roman" w:eastAsia="Noto Sans CJK SC"/>
          <w:b/>
          <w:color w:val="1F4E79"/>
          <w:sz w:val="30"/>
        </w:rPr>
        <w:t>一、当前研究基础与建议的比较框架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Noto Sans CJK SC"/>
          <w:b w:val="0"/>
          <w:sz w:val="21"/>
        </w:rPr>
        <w:t>当前手稿使用HRNet-W48检测29个软组织关键点，并将自动检测的29个关键点坐标中心化、尺度归一化后展平为58维特征，采用Ridge回归预测专家共识对称轴参数。关键点检测在103张独立测试图像上评价；对称轴预测在50张独立测试图像上评价。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表1  建议增加的对比模型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2062"/>
        <w:gridCol w:w="2062"/>
        <w:gridCol w:w="2062"/>
        <w:gridCol w:w="2062"/>
      </w:tblGrid>
      <w:tr>
        <w:trPr>
          <w:tblHeader/>
          <w:jc w:val="center"/>
        </w:trPr>
        <w:tc>
          <w:tcPr>
            <w:tcW w:w="1247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w="1984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w="1587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w="345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比较目的</w:t>
            </w:r>
          </w:p>
        </w:tc>
        <w:tc>
          <w:tcPr>
            <w:tcW w:w="1247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定位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关键点检测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ResNet50-SimpleBaseline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CNN热图回归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提供经典、结构较简单的基线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新增对比模型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关键点检测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HRNet-W32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高分辨率CNN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与HRNet-W48同系列，比较模型容量影响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新增对比模型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关键点检测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ViTPose-B或TransPose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Transformer关键点模型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比较Transformer架构的定位能力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新增对比模型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关键点检测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HRNet-W48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高分辨率CNN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本研究当前主模型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主要模型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对称轴预测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Ordinary Linear Regression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无正则线性回归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检验L2正则化是否必要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新增对比模型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对称轴预测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SVR-RBF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核回归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比较非线性映射能力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新增对比模型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对称轴预测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Random Forest Regression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非参数树模型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比较树模型对复杂关系的拟合能力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新增对比模型</w:t>
            </w:r>
          </w:p>
        </w:tc>
      </w:tr>
      <w:tr>
        <w:trPr>
          <w:jc w:val="center"/>
        </w:trPr>
        <w:tc>
          <w:tcPr>
            <w:tcW w:w="124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对称轴预测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Ridge Regression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L2正则线性回归</w:t>
            </w:r>
            <w:bookmarkStart w:id="0" w:name="_GoBack"/>
            <w:bookmarkEnd w:id="0"/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本研究当前主模型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主要模型</w:t>
            </w:r>
          </w:p>
        </w:tc>
      </w:tr>
    </w:tbl>
    <w:p>
      <w:pPr>
        <w:spacing w:after="0"/>
      </w:pPr>
    </w:p>
    <w:p>
      <w:pPr>
        <w:spacing w:after="100" w:line="276" w:lineRule="auto"/>
        <w:ind w:left="283" w:right="283"/>
      </w:pPr>
      <w:r>
        <w:rPr>
          <w:rFonts w:ascii="Times New Roman" w:hAnsi="Times New Roman" w:eastAsia="Noto Sans CJK SC"/>
          <w:b w:val="0"/>
          <w:color w:val="555555"/>
          <w:sz w:val="19"/>
        </w:rPr>
        <w:t>说明：</w:t>
      </w:r>
      <w:r>
        <w:rPr>
          <w:rFonts w:ascii="Times New Roman" w:hAnsi="Times New Roman" w:eastAsia="Noto Sans CJK SC"/>
          <w:b w:val="0"/>
          <w:color w:val="555555"/>
          <w:sz w:val="19"/>
          <w:highlight w:val="yellow"/>
        </w:rPr>
        <w:t>具体模型名称可根据代码可实现性调整</w:t>
      </w:r>
      <w:r>
        <w:rPr>
          <w:rFonts w:ascii="Times New Roman" w:hAnsi="Times New Roman" w:eastAsia="Noto Sans CJK SC"/>
          <w:b w:val="0"/>
          <w:color w:val="555555"/>
          <w:sz w:val="19"/>
        </w:rPr>
        <w:t>，但建议保留“经典CNN基线、同系列轻量模型、Transformer模型”三类代表性关键点模型，以及“无正则线性、非线性核方法、树模型”三类对称轴回归基线。</w:t>
      </w:r>
    </w:p>
    <w:p>
      <w:pPr>
        <w:pStyle w:val="3"/>
        <w:keepNext/>
        <w:spacing w:before="160" w:after="80"/>
      </w:pPr>
      <w:r>
        <w:rPr>
          <w:rFonts w:ascii="Times New Roman" w:hAnsi="Times New Roman" w:eastAsia="Noto Sans CJK SC"/>
          <w:b/>
          <w:color w:val="1F4E79"/>
          <w:sz w:val="30"/>
        </w:rPr>
        <w:t>二、关键点检测模型必须补充的数据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Noto Sans CJK SC"/>
          <w:b w:val="0"/>
          <w:sz w:val="21"/>
        </w:rPr>
        <w:t>关键点比较的主要结局建议设为MRE和SDR@15 px。其余SDR阈值、区域结果、逐关键点结果和归一化误差用于解释模型差异及支持补充材料。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表2  四种关键点检测模型的总体性能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19"/>
        <w:gridCol w:w="1719"/>
        <w:gridCol w:w="1719"/>
        <w:gridCol w:w="1719"/>
      </w:tblGrid>
      <w:tr>
        <w:trPr>
          <w:tblHeader/>
          <w:jc w:val="center"/>
        </w:trPr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ResNet50-SimpleBaseline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HRNet-W32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ViTPose-B/TransPose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HRNet-W48（当前结果）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MRE（px），Mean ± SD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12.46 ± 11.66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MRE（px），Median（IQR）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待补充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MRE的95% CI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待补充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NME（%IPD），Mean ± SD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待补充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SDR@5 px（%）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22.83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SDR@10 px（%）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55.17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SDR@15 px（%）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75.86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SDR@20 px（%）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82.76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SDR@25 px（%）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89.66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SDR@30 px（%）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93.10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SDR@40 px（%）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96.55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SDR曲线AUC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待补充</w:t>
            </w:r>
          </w:p>
        </w:tc>
      </w:tr>
    </w:tbl>
    <w:p>
      <w:pPr>
        <w:spacing w:after="0"/>
      </w:pPr>
    </w:p>
    <w:p>
      <w:pPr>
        <w:spacing w:after="100" w:line="276" w:lineRule="auto"/>
        <w:ind w:left="283" w:right="283"/>
      </w:pPr>
      <w:r>
        <w:rPr>
          <w:rFonts w:ascii="Times New Roman" w:hAnsi="Times New Roman" w:eastAsia="Noto Sans CJK SC"/>
          <w:b w:val="0"/>
          <w:color w:val="555555"/>
          <w:sz w:val="19"/>
        </w:rPr>
        <w:t>说明：MRE用于反映平均定位误差；SDR用于反映在给定误差阈值内成功定位的比例；NME建议采用双瞳间距（IPD）归一化，以减少不同原始图像尺寸对像素误差的影响。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表3  五个面部区域的关键点检测结果</w:t>
      </w:r>
    </w:p>
    <w:tbl>
      <w:tblPr>
        <w:tblStyle w:val="33"/>
        <w:tblpPr w:leftFromText="180" w:rightFromText="180" w:vertAnchor="text" w:horzAnchor="page" w:tblpX="907" w:tblpY="599"/>
        <w:tblOverlap w:val="never"/>
        <w:tblW w:w="113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289"/>
        <w:gridCol w:w="945"/>
        <w:gridCol w:w="1097"/>
        <w:gridCol w:w="1139"/>
        <w:gridCol w:w="945"/>
        <w:gridCol w:w="1000"/>
        <w:gridCol w:w="944"/>
        <w:gridCol w:w="1056"/>
        <w:gridCol w:w="833"/>
        <w:gridCol w:w="833"/>
      </w:tblGrid>
      <w:tr>
        <w:trPr>
          <w:trHeight w:val="729" w:hRule="atLeast"/>
          <w:tblHeader/>
        </w:trPr>
        <w:tc>
          <w:tcPr>
            <w:tcW w:w="128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面部区域</w:t>
            </w:r>
          </w:p>
        </w:tc>
        <w:tc>
          <w:tcPr>
            <w:tcW w:w="128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w="945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MRE（px）</w:t>
            </w:r>
          </w:p>
        </w:tc>
        <w:tc>
          <w:tcPr>
            <w:tcW w:w="1097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NME（%IPD）</w:t>
            </w:r>
          </w:p>
        </w:tc>
        <w:tc>
          <w:tcPr>
            <w:tcW w:w="113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SDR@</w:t>
            </w: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5</w:t>
            </w: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（%）</w:t>
            </w:r>
          </w:p>
        </w:tc>
        <w:tc>
          <w:tcPr>
            <w:tcW w:w="945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SDR@10（%）</w:t>
            </w:r>
          </w:p>
        </w:tc>
        <w:tc>
          <w:tcPr>
            <w:tcW w:w="1000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SDR@15（%）</w:t>
            </w:r>
          </w:p>
        </w:tc>
        <w:tc>
          <w:tcPr>
            <w:tcW w:w="944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SDR@2</w:t>
            </w: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0</w:t>
            </w: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（%）</w:t>
            </w:r>
          </w:p>
        </w:tc>
        <w:tc>
          <w:tcPr>
            <w:tcW w:w="1056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SDR@25（%）</w:t>
            </w:r>
          </w:p>
        </w:tc>
        <w:tc>
          <w:tcPr>
            <w:tcW w:w="833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SDR@</w:t>
            </w: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30</w:t>
            </w: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（%）</w:t>
            </w:r>
          </w:p>
        </w:tc>
        <w:tc>
          <w:tcPr>
            <w:tcW w:w="833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  <w:rPr>
                <w:rFonts w:ascii="Times New Roman" w:hAnsi="Times New Roman" w:eastAsia="Noto Sans CJK SC"/>
                <w:b/>
                <w:color w:val="FFFFFF"/>
                <w:sz w:val="16"/>
              </w:rPr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SDR@40（%）</w:t>
            </w:r>
          </w:p>
        </w:tc>
      </w:tr>
      <w:tr>
        <w:tc>
          <w:tcPr>
            <w:tcW w:w="128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Eyebrow</w:t>
            </w:r>
          </w:p>
        </w:tc>
        <w:tc>
          <w:tcPr>
            <w:tcW w:w="12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4种模型分别报告</w:t>
            </w: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c>
          <w:tcPr>
            <w:tcW w:w="128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Eye</w:t>
            </w:r>
          </w:p>
        </w:tc>
        <w:tc>
          <w:tcPr>
            <w:tcW w:w="12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4种模型分别报告</w:t>
            </w: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c>
          <w:tcPr>
            <w:tcW w:w="128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Nose</w:t>
            </w:r>
          </w:p>
        </w:tc>
        <w:tc>
          <w:tcPr>
            <w:tcW w:w="12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4种模型分别报告</w:t>
            </w: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c>
          <w:tcPr>
            <w:tcW w:w="128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Mouth</w:t>
            </w:r>
          </w:p>
        </w:tc>
        <w:tc>
          <w:tcPr>
            <w:tcW w:w="12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4种模型分别报告</w:t>
            </w: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c>
          <w:tcPr>
            <w:tcW w:w="128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Facial contour</w:t>
            </w:r>
          </w:p>
        </w:tc>
        <w:tc>
          <w:tcPr>
            <w:tcW w:w="12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4种模型分别报告</w:t>
            </w: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/>
      </w:pPr>
    </w:p>
    <w:p>
      <w:pPr>
        <w:spacing w:after="100" w:line="276" w:lineRule="auto"/>
        <w:ind w:right="283"/>
      </w:pPr>
      <w:r>
        <w:rPr>
          <w:rFonts w:ascii="Times New Roman" w:hAnsi="Times New Roman" w:eastAsia="Noto Sans CJK SC"/>
          <w:b w:val="0"/>
          <w:color w:val="555555"/>
          <w:sz w:val="19"/>
        </w:rPr>
        <w:t>说明：区域结果用于判断模型优势是否集中在眉部、眼部、鼻部、口部或面部轮廓。当前手稿提示眼、鼻、口部误差较低，而眉部和面部轮廓误差较高，因此区域级比较具有较强的解释价值。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表4  29个关键点的逐点误差（建议置于补充材料）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/>
          <w:jc w:val="center"/>
        </w:trPr>
        <w:tc>
          <w:tcPr>
            <w:tcW w:w="1191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Region</w:t>
            </w:r>
          </w:p>
        </w:tc>
        <w:tc>
          <w:tcPr>
            <w:tcW w:w="2835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Landmark</w:t>
            </w:r>
          </w:p>
        </w:tc>
        <w:tc>
          <w:tcPr>
            <w:tcW w:w="1134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ResNet50 MRE</w:t>
            </w:r>
          </w:p>
        </w:tc>
        <w:tc>
          <w:tcPr>
            <w:tcW w:w="1134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HRNet-W32 MRE</w:t>
            </w:r>
          </w:p>
        </w:tc>
        <w:tc>
          <w:tcPr>
            <w:tcW w:w="1361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ViTPose/TransPose MRE</w:t>
            </w:r>
          </w:p>
        </w:tc>
        <w:tc>
          <w:tcPr>
            <w:tcW w:w="1191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HRNet-W48 MRE</w:t>
            </w:r>
          </w:p>
        </w:tc>
        <w:tc>
          <w:tcPr>
            <w:tcW w:w="1474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SDR@15</w:t>
            </w:r>
          </w:p>
        </w:tc>
      </w:tr>
      <w:tr>
        <w:trPr>
          <w:jc w:val="center"/>
        </w:trPr>
        <w:tc>
          <w:tcPr>
            <w:tcW w:w="119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Eyebrow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os.l / os.r / sci.l / sci.r / ebe.l / ebe.r / ebs.l / ebs.r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jc w:val="center"/>
        </w:trPr>
        <w:tc>
          <w:tcPr>
            <w:tcW w:w="119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Eye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en.l / en.r / ex.l / ex.r / p.l / p.r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jc w:val="center"/>
        </w:trPr>
        <w:tc>
          <w:tcPr>
            <w:tcW w:w="119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Nose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prn / al.l / al.r / Sn / Na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jc w:val="center"/>
        </w:trPr>
        <w:tc>
          <w:tcPr>
            <w:tcW w:w="119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Mouth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ch.l / ch.r / ls / li / sto / cph.l / cph.r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jc w:val="center"/>
        </w:trPr>
        <w:tc>
          <w:tcPr>
            <w:tcW w:w="119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Facial contour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Me / Go.l / Go.r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/>
      </w:pPr>
    </w:p>
    <w:p>
      <w:pPr>
        <w:spacing w:after="100" w:line="276" w:lineRule="auto"/>
        <w:ind w:left="283" w:right="283"/>
      </w:pPr>
      <w:r>
        <w:rPr>
          <w:rFonts w:ascii="Times New Roman" w:hAnsi="Times New Roman" w:eastAsia="Noto Sans CJK SC"/>
          <w:b w:val="0"/>
          <w:color w:val="555555"/>
          <w:sz w:val="19"/>
        </w:rPr>
        <w:t>说明：正式计算时应将每个关键点单独列为一行，共29行。逐点结果可进一步制作4×29矩阵式误差热图：行表示模型，列表示关键点，单元格为该关键点的MRE，颜色越深表示误差越大。</w:t>
      </w:r>
    </w:p>
    <w:p>
      <w:pPr>
        <w:pStyle w:val="3"/>
        <w:keepNext/>
        <w:spacing w:before="160" w:after="80"/>
      </w:pPr>
      <w:r>
        <w:rPr>
          <w:rFonts w:ascii="Times New Roman" w:hAnsi="Times New Roman" w:eastAsia="Noto Sans CJK SC"/>
          <w:b/>
          <w:color w:val="1F4E79"/>
          <w:sz w:val="30"/>
        </w:rPr>
        <w:t>三、对称轴预测模型必须补充的数据</w:t>
      </w:r>
    </w:p>
    <w:p>
      <w:pPr>
        <w:spacing w:after="80" w:line="300" w:lineRule="auto"/>
        <w:ind w:firstLine="420"/>
        <w:rPr>
          <w:b/>
          <w:bCs/>
          <w:highlight w:val="yellow"/>
        </w:rPr>
      </w:pPr>
      <w:r>
        <w:rPr>
          <w:rFonts w:ascii="Times New Roman" w:hAnsi="Times New Roman" w:eastAsia="Noto Sans CJK SC"/>
          <w:b/>
          <w:bCs/>
          <w:sz w:val="21"/>
          <w:highlight w:val="yellow"/>
        </w:rPr>
        <w:t>以29个关键点</w:t>
      </w:r>
      <w:r>
        <w:rPr>
          <w:rFonts w:hint="eastAsia"/>
          <w:b/>
          <w:bCs/>
          <w:sz w:val="21"/>
          <w:highlight w:val="yellow"/>
          <w:lang w:eastAsia="zh-CN"/>
        </w:rPr>
        <w:t>（</w:t>
      </w:r>
      <w:r>
        <w:rPr>
          <w:rFonts w:hint="eastAsia"/>
          <w:b/>
          <w:bCs/>
          <w:sz w:val="21"/>
          <w:highlight w:val="yellow"/>
          <w:lang w:val="en-US" w:eastAsia="zh-CN"/>
        </w:rPr>
        <w:t>专家手工标注）</w:t>
      </w:r>
      <w:r>
        <w:rPr>
          <w:rFonts w:ascii="Times New Roman" w:hAnsi="Times New Roman" w:eastAsia="Noto Sans CJK SC"/>
          <w:b/>
          <w:bCs/>
          <w:sz w:val="21"/>
          <w:highlight w:val="yellow"/>
        </w:rPr>
        <w:t>的空间分布为输入，学习其与专家共识轴参数之间的映射关系。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表5  四种对称轴模型的准确性与一致性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19"/>
        <w:gridCol w:w="1719"/>
        <w:gridCol w:w="1719"/>
        <w:gridCol w:w="1719"/>
      </w:tblGrid>
      <w:tr>
        <w:trPr>
          <w:tblHeader/>
          <w:jc w:val="center"/>
        </w:trPr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Linear Regression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SVR-RBF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Random Forest</w:t>
            </w:r>
          </w:p>
        </w:tc>
        <w:tc>
          <w:tcPr>
            <w:tcW w:w="1719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5"/>
              </w:rPr>
              <w:t>Ridge（当前结果）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Angular deviation（°），Mean ± SD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0.98 ± 0.70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Angular deviation，Median（IQR）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0.87（0.54–1.17）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Angular deviation，95% CI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0.79–1.18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Signed angular bias（°）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−0.12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Angular 95% LoA（°）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−2.49至2.24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Axis-position deviation at yc（px）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7.02 ± 3.52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Position deviation，Median（IQR）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6.64（4.48–9.30）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Position deviation，95% CI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6.02–8.02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Signed position bias（px）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−6.85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Position 95% LoA（px）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−14.39至0.69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Normalized position error（%IPD）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待补充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Mean horizontal distance（px）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7.43 ± 3.47</w:t>
            </w:r>
          </w:p>
        </w:tc>
      </w:tr>
      <w:tr>
        <w:trPr>
          <w:jc w:val="center"/>
        </w:trPr>
        <w:tc>
          <w:tcPr>
            <w:tcW w:w="1719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5"/>
              </w:rPr>
              <w:t>Mean horizontal distance（%IPD）</w:t>
            </w: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1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5"/>
              </w:rPr>
              <w:t>待补充</w:t>
            </w:r>
          </w:p>
        </w:tc>
      </w:tr>
    </w:tbl>
    <w:p>
      <w:pPr>
        <w:spacing w:after="100" w:line="276" w:lineRule="auto"/>
        <w:ind w:left="283" w:right="283"/>
      </w:pPr>
      <w:r>
        <w:rPr>
          <w:rFonts w:ascii="Times New Roman" w:hAnsi="Times New Roman" w:eastAsia="Noto Sans CJK SC"/>
          <w:b w:val="0"/>
          <w:color w:val="555555"/>
          <w:sz w:val="19"/>
        </w:rPr>
        <w:t>说明：绝对偏差用于评价准确性；有符号差值用于评价系统性方向或位置偏移。二者不能互相替代。yc为双瞳连线平均高度。</w:t>
      </w:r>
    </w:p>
    <w:p>
      <w:pPr>
        <w:spacing w:after="80" w:line="300" w:lineRule="auto"/>
        <w:ind w:firstLine="420"/>
      </w:pPr>
    </w:p>
    <w:p>
      <w:pPr>
        <w:pStyle w:val="3"/>
        <w:keepNext/>
        <w:spacing w:before="160" w:after="80"/>
      </w:pPr>
      <w:r>
        <w:rPr>
          <w:rFonts w:hint="eastAsia" w:ascii="Times New Roman" w:hAnsi="Times New Roman" w:eastAsia="Noto Sans CJK SC"/>
          <w:b/>
          <w:color w:val="1F4E79"/>
          <w:sz w:val="30"/>
          <w:lang w:val="en-US" w:eastAsia="zh-CN"/>
        </w:rPr>
        <w:t>四</w:t>
      </w:r>
      <w:r>
        <w:rPr>
          <w:rFonts w:ascii="Times New Roman" w:hAnsi="Times New Roman" w:eastAsia="Noto Sans CJK SC"/>
          <w:b/>
          <w:color w:val="1F4E79"/>
          <w:sz w:val="30"/>
        </w:rPr>
        <w:t>、模型复杂度、运行效率与训练配置</w:t>
      </w:r>
    </w:p>
    <w:p>
      <w:pPr>
        <w:spacing w:after="80" w:line="300" w:lineRule="auto"/>
        <w:ind w:firstLine="420"/>
      </w:pPr>
      <w:r>
        <w:rPr>
          <w:rFonts w:ascii="Times New Roman" w:hAnsi="Times New Roman" w:eastAsia="Noto Sans CJK SC"/>
          <w:b w:val="0"/>
          <w:sz w:val="21"/>
        </w:rPr>
        <w:t>增加模型比较后，所有模型需要在同一硬件、相同批量大小和相同计时规则下重新测试。否则参数量、FLOPs和运行时间不能公平比较。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</w:t>
      </w:r>
      <w:r>
        <w:rPr>
          <w:rFonts w:hint="eastAsia"/>
          <w:b/>
          <w:sz w:val="20"/>
          <w:lang w:val="en-US" w:eastAsia="zh-CN"/>
        </w:rPr>
        <w:t>6</w:t>
      </w:r>
      <w:r>
        <w:rPr>
          <w:rFonts w:ascii="Times New Roman" w:hAnsi="Times New Roman" w:eastAsia="Noto Sans CJK SC"/>
          <w:b/>
          <w:sz w:val="20"/>
        </w:rPr>
        <w:t xml:space="preserve">  关键点模型复杂度和运行效率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2062"/>
        <w:gridCol w:w="2062"/>
        <w:gridCol w:w="2062"/>
        <w:gridCol w:w="2062"/>
      </w:tblGrid>
      <w:tr>
        <w:trPr>
          <w:tblHeader/>
          <w:jc w:val="center"/>
        </w:trPr>
        <w:tc>
          <w:tcPr>
            <w:tcW w:w="2062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w="2062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ResNet50</w:t>
            </w:r>
          </w:p>
        </w:tc>
        <w:tc>
          <w:tcPr>
            <w:tcW w:w="2062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HRNet-W32</w:t>
            </w:r>
          </w:p>
        </w:tc>
        <w:tc>
          <w:tcPr>
            <w:tcW w:w="2062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ViTPose/TransPose</w:t>
            </w:r>
          </w:p>
        </w:tc>
        <w:tc>
          <w:tcPr>
            <w:tcW w:w="2062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HRNet-W48（当前结果）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Parameters（M）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63.6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GFLOPs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43.9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Model size（MB）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待补充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Peak memory（MB）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待补充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Preprocessing（ms）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3.2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Landmark inference（ms）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32.4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End-to-end runtime（ms）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42.1</w:t>
            </w:r>
          </w:p>
        </w:tc>
      </w:tr>
      <w:tr>
        <w:trPr>
          <w:jc w:val="center"/>
        </w:trPr>
        <w:tc>
          <w:tcPr>
            <w:tcW w:w="2062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FPS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23.8</w:t>
            </w:r>
          </w:p>
        </w:tc>
      </w:tr>
    </w:tbl>
    <w:p>
      <w:pPr>
        <w:spacing w:after="0"/>
      </w:pP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</w:t>
      </w:r>
      <w:r>
        <w:rPr>
          <w:rFonts w:hint="eastAsia"/>
          <w:b/>
          <w:sz w:val="20"/>
          <w:lang w:val="en-US" w:eastAsia="zh-CN"/>
        </w:rPr>
        <w:t>7</w:t>
      </w:r>
      <w:r>
        <w:rPr>
          <w:rFonts w:ascii="Times New Roman" w:hAnsi="Times New Roman" w:eastAsia="Noto Sans CJK SC"/>
          <w:b/>
          <w:sz w:val="20"/>
        </w:rPr>
        <w:t xml:space="preserve">  各关键点模型训练条件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2062"/>
        <w:gridCol w:w="2062"/>
        <w:gridCol w:w="2062"/>
        <w:gridCol w:w="2062"/>
      </w:tblGrid>
      <w:tr>
        <w:trPr>
          <w:tblHeader/>
          <w:jc w:val="center"/>
        </w:trPr>
        <w:tc>
          <w:tcPr>
            <w:tcW w:w="1984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1871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ResNet50</w:t>
            </w:r>
          </w:p>
        </w:tc>
        <w:tc>
          <w:tcPr>
            <w:tcW w:w="1871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HRNet-W32</w:t>
            </w:r>
          </w:p>
        </w:tc>
        <w:tc>
          <w:tcPr>
            <w:tcW w:w="226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ViTPose/TransPose</w:t>
            </w:r>
          </w:p>
        </w:tc>
        <w:tc>
          <w:tcPr>
            <w:tcW w:w="2324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HRNet-W48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数据划分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相同721/206/103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相同721/206/103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相同721/206/103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721/206/103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输入尺寸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384×384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384×384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384×384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384×384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输出热力图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建议统一96×96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建议统一96×96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尽量统一或说明差异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96×96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关键点数量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29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29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29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29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预训练权重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明确记录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明确记录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明确记录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明确记录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Optimizer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尽量统一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尽量统一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尽量统一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AdamW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Initial learning rate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调参后报告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调参后报告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调参后报告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1×10⁻⁴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Maximum epochs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120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120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120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120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Early stopping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20 epochs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20 epochs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20 epochs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20 epochs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Data augmentation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rotation/scaling/color jitter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Loss function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尽量相同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尽量相同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尽量相同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MSE + 0.10 Wing loss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Decoding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相同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5×5 local soft-argmax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Random seeds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建议≥3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建议≥3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建议≥3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建议≥3</w:t>
            </w:r>
          </w:p>
        </w:tc>
      </w:tr>
    </w:tbl>
    <w:p>
      <w:pPr>
        <w:spacing w:after="0"/>
      </w:pPr>
    </w:p>
    <w:p>
      <w:pPr>
        <w:spacing w:after="100" w:line="276" w:lineRule="auto"/>
        <w:ind w:left="283" w:right="283"/>
      </w:pPr>
      <w:r>
        <w:rPr>
          <w:rFonts w:ascii="Times New Roman" w:hAnsi="Times New Roman" w:eastAsia="Noto Sans CJK SC"/>
          <w:b w:val="0"/>
          <w:color w:val="555555"/>
          <w:sz w:val="19"/>
        </w:rPr>
        <w:t>说明：若某模型的原始架构必须使用不同的输出尺寸、损失或解码方式，应如实报告并在讨论中说明；不要为了表面一致而不合理改造模型。</w:t>
      </w:r>
    </w:p>
    <w:p>
      <w:pPr>
        <w:pStyle w:val="3"/>
        <w:keepNext/>
        <w:spacing w:before="160" w:after="80"/>
      </w:pPr>
      <w:r>
        <w:rPr>
          <w:rFonts w:hint="eastAsia" w:ascii="Times New Roman" w:hAnsi="Times New Roman" w:eastAsia="Noto Sans CJK SC"/>
          <w:b/>
          <w:color w:val="1F4E79"/>
          <w:sz w:val="30"/>
          <w:lang w:val="en-US" w:eastAsia="zh-CN"/>
        </w:rPr>
        <w:t>五</w:t>
      </w:r>
      <w:r>
        <w:rPr>
          <w:rFonts w:ascii="Times New Roman" w:hAnsi="Times New Roman" w:eastAsia="Noto Sans CJK SC"/>
          <w:b/>
          <w:color w:val="1F4E79"/>
          <w:sz w:val="30"/>
        </w:rPr>
        <w:t>、</w:t>
      </w:r>
      <w:r>
        <w:rPr>
          <w:rFonts w:hint="eastAsia" w:ascii="Times New Roman" w:hAnsi="Times New Roman" w:eastAsia="Noto Sans CJK SC"/>
          <w:b/>
          <w:color w:val="1F4E79"/>
          <w:sz w:val="30"/>
          <w:lang w:val="en-US" w:eastAsia="zh-CN"/>
        </w:rPr>
        <w:t>需要</w:t>
      </w:r>
      <w:r>
        <w:rPr>
          <w:rFonts w:ascii="Times New Roman" w:hAnsi="Times New Roman" w:eastAsia="Noto Sans CJK SC"/>
          <w:b/>
          <w:color w:val="1F4E79"/>
          <w:sz w:val="30"/>
        </w:rPr>
        <w:t>补充的图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2578"/>
        <w:gridCol w:w="2578"/>
      </w:tblGrid>
      <w:tr>
        <w:trPr>
          <w:tblHeader/>
          <w:jc w:val="center"/>
        </w:trPr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图形</w:t>
            </w:r>
          </w:p>
        </w:tc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主要用途</w:t>
            </w:r>
          </w:p>
        </w:tc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推荐位置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SDR曲线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4种关键点模型在5–40 px阈值下的SDR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直观比较不同误差阈值下的定位成功率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正文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总体MRE箱线图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每张测试图像的MRE，按模型分组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展示离散程度和异常值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正文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区域MRE图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5个面部区域×4种模型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解释优势集中于哪些区域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正文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逐点误差热图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4种模型×29个关键点的MRE矩阵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识别困难关键点及模型特异性差异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补充材料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轴角度偏差箱线图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4种轴模型的绝对角度偏差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比较方向预测准确性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正文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轴位置偏差箱线图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4种轴模型在yc处的绝对位置偏差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比较水平位置准确性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正文</w:t>
            </w:r>
          </w:p>
        </w:tc>
      </w:tr>
    </w:tbl>
    <w:p>
      <w:pPr>
        <w:spacing w:after="0"/>
      </w:pPr>
    </w:p>
    <w:p>
      <w:pPr>
        <w:spacing w:line="360" w:lineRule="auto"/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eastAsia="Songti SC"/>
          <w:b/>
          <w:bCs/>
          <w:sz w:val="24"/>
          <w:szCs w:val="24"/>
        </w:rPr>
        <w:t xml:space="preserve">Figure 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x</w:t>
      </w:r>
      <w:r>
        <w:rPr>
          <w:rFonts w:ascii="Times New Roman" w:hAnsi="Times New Roman" w:eastAsia="Songti SC"/>
          <w:b/>
          <w:bCs/>
          <w:sz w:val="24"/>
          <w:szCs w:val="24"/>
        </w:rPr>
        <w:t xml:space="preserve">. </w:t>
      </w:r>
      <w:r>
        <w:rPr>
          <w:rFonts w:hint="eastAsia" w:eastAsia="Songti SC"/>
          <w:b/>
          <w:bCs/>
          <w:sz w:val="24"/>
          <w:szCs w:val="24"/>
          <w:lang w:val="en-US" w:eastAsia="zh-CN"/>
        </w:rPr>
        <w:t>四个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模型的</w:t>
      </w:r>
      <w:r>
        <w:rPr>
          <w:rFonts w:ascii="Times New Roman" w:hAnsi="Times New Roman" w:eastAsia="Songti SC"/>
          <w:b/>
          <w:bCs/>
          <w:sz w:val="24"/>
          <w:szCs w:val="24"/>
        </w:rPr>
        <w:t>Successful detection rates at different distance thresholds.</w:t>
      </w:r>
      <w:r>
        <w:rPr>
          <w:rFonts w:hint="eastAsia" w:ascii="Times New Roman" w:hAnsi="Times New Roman" w:eastAsia="Songti SC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图为</w:t>
      </w:r>
      <w:r>
        <w:rPr>
          <w:rFonts w:hint="default" w:ascii="Times New Roman" w:hAnsi="Times New Roman" w:eastAsia="Songti SC"/>
          <w:b/>
          <w:bCs/>
          <w:sz w:val="24"/>
          <w:szCs w:val="24"/>
          <w:lang w:val="en-US" w:eastAsia="zh-CN"/>
        </w:rPr>
        <w:t>HRNET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）</w:t>
      </w:r>
    </w:p>
    <w:p>
      <w:pPr>
        <w:spacing w:line="360" w:lineRule="auto"/>
        <w:rPr>
          <w:rFonts w:hint="default" w:ascii="Times New Roman" w:hAnsi="Times New Roman" w:eastAsia="Songti SC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eastAsia="Songti SC"/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1150620</wp:posOffset>
            </wp:positionH>
            <wp:positionV relativeFrom="paragraph">
              <wp:posOffset>-40005</wp:posOffset>
            </wp:positionV>
            <wp:extent cx="3733165" cy="2473325"/>
            <wp:effectExtent l="0" t="0" r="635" b="15875"/>
            <wp:wrapTopAndBottom/>
            <wp:docPr id="1815056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6235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ongti SC"/>
          <w:b/>
          <w:bCs/>
          <w:sz w:val="24"/>
          <w:szCs w:val="24"/>
        </w:rPr>
        <w:t xml:space="preserve">Figure 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x</w:t>
      </w:r>
      <w:r>
        <w:rPr>
          <w:rFonts w:ascii="Times New Roman" w:hAnsi="Times New Roman" w:eastAsia="Songti SC"/>
          <w:b/>
          <w:bCs/>
          <w:sz w:val="24"/>
          <w:szCs w:val="24"/>
        </w:rPr>
        <w:t xml:space="preserve">. </w:t>
      </w:r>
      <w:r>
        <w:rPr>
          <w:rFonts w:hint="eastAsia" w:eastAsia="Songti SC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个模型的</w:t>
      </w:r>
      <w:r>
        <w:rPr>
          <w:rFonts w:ascii="Times New Roman" w:hAnsi="Times New Roman" w:eastAsia="Songti SC"/>
          <w:b/>
          <w:bCs/>
          <w:sz w:val="24"/>
          <w:szCs w:val="24"/>
        </w:rPr>
        <w:t>Box-and-whisker plots of landmark localization errors by facial region.</w:t>
      </w:r>
      <w:r>
        <w:rPr>
          <w:rFonts w:hint="eastAsia" w:ascii="Times New Roman" w:hAnsi="Times New Roman" w:eastAsia="Songti SC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图为</w:t>
      </w:r>
      <w:r>
        <w:rPr>
          <w:rFonts w:hint="default" w:ascii="Times New Roman" w:hAnsi="Times New Roman" w:eastAsia="Songti SC"/>
          <w:b/>
          <w:bCs/>
          <w:sz w:val="24"/>
          <w:szCs w:val="24"/>
          <w:lang w:val="en-US" w:eastAsia="zh-CN"/>
        </w:rPr>
        <w:t>HRNET</w:t>
      </w:r>
      <w:r>
        <w:rPr>
          <w:rFonts w:hint="eastAsia" w:ascii="Times New Roman" w:hAnsi="Times New Roman" w:eastAsia="Songti SC"/>
          <w:b/>
          <w:bCs/>
          <w:sz w:val="24"/>
          <w:szCs w:val="24"/>
          <w:lang w:val="en-US" w:eastAsia="zh-CN"/>
        </w:rPr>
        <w:t>）</w:t>
      </w:r>
    </w:p>
    <w:p>
      <w:pPr>
        <w:pStyle w:val="3"/>
        <w:keepNext/>
        <w:spacing w:before="160" w:after="80"/>
        <w:jc w:val="center"/>
        <w:rPr>
          <w:rFonts w:ascii="Times New Roman" w:hAnsi="Times New Roman" w:eastAsia="Songti SC"/>
          <w:b/>
          <w:bCs/>
        </w:rPr>
      </w:pPr>
      <w:r>
        <w:rPr>
          <w:rFonts w:ascii="Times New Roman" w:hAnsi="Times New Roman" w:eastAsia="Songti SC"/>
        </w:rPr>
        <w:drawing>
          <wp:inline distT="0" distB="0" distL="114300" distR="114300">
            <wp:extent cx="3732530" cy="2224405"/>
            <wp:effectExtent l="0" t="0" r="1270" b="10795"/>
            <wp:docPr id="1406869865" name="图片 1406869865" descr="53c910665078e6c9c3f1c8969252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9865" name="图片 1406869865" descr="53c910665078e6c9c3f1c896925244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keepNext/>
        <w:spacing w:before="160" w:after="80"/>
      </w:pPr>
      <w:r>
        <w:rPr>
          <w:rFonts w:hint="eastAsia" w:ascii="Times New Roman" w:hAnsi="Times New Roman" w:eastAsia="Noto Sans CJK SC"/>
          <w:b/>
          <w:color w:val="1F4E79"/>
          <w:sz w:val="30"/>
          <w:lang w:val="en-US" w:eastAsia="zh-CN"/>
        </w:rPr>
        <w:t>六</w:t>
      </w:r>
      <w:r>
        <w:rPr>
          <w:rFonts w:ascii="Times New Roman" w:hAnsi="Times New Roman" w:eastAsia="Noto Sans CJK SC"/>
          <w:b/>
          <w:color w:val="1F4E79"/>
          <w:sz w:val="30"/>
        </w:rPr>
        <w:t>、需要保存的原始数据字段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</w:t>
      </w:r>
      <w:r>
        <w:rPr>
          <w:rFonts w:hint="eastAsia"/>
          <w:b/>
          <w:sz w:val="20"/>
          <w:lang w:val="en-US" w:eastAsia="zh-CN"/>
        </w:rPr>
        <w:t>x</w:t>
      </w:r>
      <w:r>
        <w:rPr>
          <w:rFonts w:ascii="Times New Roman" w:hAnsi="Times New Roman" w:eastAsia="Noto Sans CJK SC"/>
          <w:b/>
          <w:sz w:val="20"/>
        </w:rPr>
        <w:t xml:space="preserve">  关键点检测原始数据表字段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>
        <w:trPr>
          <w:tblHeader/>
          <w:jc w:val="center"/>
        </w:trPr>
        <w:tc>
          <w:tcPr>
            <w:tcW w:w="2381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4535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w="3402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Image_ID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图像唯一编号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配对不同模型的同一病例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Dataset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train / validation / test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确认数据划分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Model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关键点模型名称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模型分组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Seed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随机种子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重复训练与稳定性分析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Landmark / Region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关键点名称与所属区域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逐点和区域统计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GT_x / GT_y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专家参考坐标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计算定位误差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Pred_x / Pred_y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模型预测坐标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计算定位误差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Error_x / Error_y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预测坐标减参考坐标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方向性误差分析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Euclidean_error_px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欧氏距离误差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MRE和SDR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IPD_px / NME_IPD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双瞳间距及归一化误差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消除图像尺度影响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Confidence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热图峰值或置信度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失败病例与不确定性分析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Success_5…Success_40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各阈值下是否成功定位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SDR计算</w:t>
            </w:r>
          </w:p>
        </w:tc>
      </w:tr>
    </w:tbl>
    <w:p>
      <w:pPr>
        <w:spacing w:after="0"/>
      </w:pP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</w:t>
      </w:r>
      <w:r>
        <w:rPr>
          <w:rFonts w:hint="eastAsia"/>
          <w:b/>
          <w:sz w:val="20"/>
          <w:lang w:val="en-US" w:eastAsia="zh-CN"/>
        </w:rPr>
        <w:t>x</w:t>
      </w:r>
      <w:r>
        <w:rPr>
          <w:rFonts w:ascii="Times New Roman" w:hAnsi="Times New Roman" w:eastAsia="Noto Sans CJK SC"/>
          <w:b/>
          <w:sz w:val="20"/>
        </w:rPr>
        <w:t xml:space="preserve">  对称轴预测原始数据表字段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>
        <w:trPr>
          <w:tblHeader/>
          <w:jc w:val="center"/>
        </w:trPr>
        <w:tc>
          <w:tcPr>
            <w:tcW w:w="3437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3437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w="3437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Image_ID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图像唯一编号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模型间配对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Landmark_source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Manual或Automatic；若正式流程固定，可只写HRNet-W48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说明输入来源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Axis_model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Linear / SVR / RF / Ridge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模型分组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Expert_m / Expert_b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专家共识轴参数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参考标准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Pred_m / Pred_b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预测轴参数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模型输出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Expert_angle / Pred_angle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专家轴与预测轴角度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角度差计算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Signed_angle_difference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预测角度减专家角度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Bland–Altman偏倚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Absolute_angle_deviation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有符号角度差的绝对值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角度准确性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 xml:space="preserve">Expert_position_yc 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两条轴在yc处的位置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位置差计算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sz w:val="16"/>
              </w:rPr>
              <w:t>Pred_position_yc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两条轴在yc处的位置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位置差计算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sz w:val="16"/>
              </w:rPr>
              <w:t>Signed_position_difference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预测位置减专家位置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Bland–Altman偏倚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sz w:val="16"/>
              </w:rPr>
              <w:t>Absolute_position_deviation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有符号位置差的绝对值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位置准确性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sz w:val="16"/>
              </w:rPr>
              <w:t>Mean_horizontal_distance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100个纵向采样点的平均水平距离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整条轴线误差</w:t>
            </w:r>
          </w:p>
        </w:tc>
      </w:tr>
      <w:tr>
        <w:trPr>
          <w:jc w:val="center"/>
        </w:trPr>
        <w:tc>
          <w:tcPr>
            <w:tcW w:w="3437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/>
                <w:sz w:val="16"/>
              </w:rPr>
              <w:t>IPD_px / normalized errors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IPD及归一化位置/距离误差</w:t>
            </w:r>
          </w:p>
        </w:tc>
        <w:tc>
          <w:tcPr>
            <w:tcW w:w="3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尺度归一化</w:t>
            </w:r>
          </w:p>
        </w:tc>
      </w:tr>
    </w:tbl>
    <w:p>
      <w:pPr>
        <w:spacing w:after="0"/>
      </w:pPr>
    </w:p>
    <w:p>
      <w:pPr>
        <w:pStyle w:val="3"/>
        <w:keepNext/>
        <w:spacing w:before="160" w:after="80"/>
      </w:pPr>
      <w:r>
        <w:rPr>
          <w:rFonts w:hint="eastAsia" w:ascii="Times New Roman" w:hAnsi="Times New Roman" w:eastAsia="Noto Sans CJK SC"/>
          <w:b/>
          <w:color w:val="1F4E79"/>
          <w:sz w:val="30"/>
          <w:lang w:val="en-US" w:eastAsia="zh-CN"/>
        </w:rPr>
        <w:t>七</w:t>
      </w:r>
      <w:r>
        <w:rPr>
          <w:rFonts w:ascii="Times New Roman" w:hAnsi="Times New Roman" w:eastAsia="Noto Sans CJK SC"/>
          <w:b/>
          <w:color w:val="1F4E79"/>
          <w:sz w:val="30"/>
        </w:rPr>
        <w:t>、实验数据量核对</w:t>
      </w:r>
    </w:p>
    <w:p>
      <w:pPr>
        <w:pStyle w:val="164"/>
      </w:pPr>
      <w:r>
        <w:rPr>
          <w:rFonts w:ascii="Times New Roman" w:hAnsi="Times New Roman" w:eastAsia="Noto Sans CJK SC"/>
          <w:b/>
          <w:sz w:val="20"/>
        </w:rPr>
        <w:t>表  按当前数据划分估算的结果数量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2578"/>
        <w:gridCol w:w="2578"/>
      </w:tblGrid>
      <w:tr>
        <w:trPr>
          <w:tblHeader/>
          <w:jc w:val="center"/>
        </w:trPr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部分</w:t>
            </w:r>
          </w:p>
        </w:tc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样本量</w:t>
            </w:r>
          </w:p>
        </w:tc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模型数量</w:t>
            </w:r>
          </w:p>
        </w:tc>
        <w:tc>
          <w:tcPr>
            <w:tcW w:w="2578" w:type="dxa"/>
            <w:shd w:val="clear" w:color="auto" w:fill="355C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Noto Sans CJK SC"/>
                <w:b/>
                <w:color w:val="FFFFFF"/>
                <w:sz w:val="16"/>
              </w:rPr>
              <w:t>需要产生的数据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关键点测试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103张×29点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4种关键点模型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11,948个预测关键点；11,948个逐点误差；412个每图MRE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SDR结果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103张测试图像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4种关键点模型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7个阈值×4种模型的总体结果，并可计算区域SDR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逐点结果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29个关键点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4种关键点模型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116个逐关键点平均误差单元格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对称轴测试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50张独立测试图像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4种轴模型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200条自动轴；200个角度差、位置差和平均水平距离</w:t>
            </w:r>
          </w:p>
        </w:tc>
      </w:tr>
      <w:tr>
        <w:trPr>
          <w:jc w:val="center"/>
        </w:trPr>
        <w:tc>
          <w:tcPr>
            <w:tcW w:w="2578" w:type="dxa"/>
            <w:shd w:val="clear" w:color="auto" w:fill="EAF0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ans CJK SC"/>
                <w:b/>
                <w:sz w:val="16"/>
              </w:rPr>
              <w:t>Bland–Altman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每模型50张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4种轴模型</w:t>
            </w:r>
          </w:p>
        </w:tc>
        <w:tc>
          <w:tcPr>
            <w:tcW w:w="25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ans CJK SC"/>
                <w:b w:val="0"/>
                <w:sz w:val="16"/>
              </w:rPr>
              <w:t>每模型50个有符号角度差和50个有符号位置差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line="300" w:lineRule="auto"/>
        <w:ind w:firstLine="420"/>
      </w:pPr>
    </w:p>
    <w:sectPr>
      <w:footerReference r:id="rId5" w:type="default"/>
      <w:pgSz w:w="12240" w:h="15840"/>
      <w:pgMar w:top="1020" w:right="964" w:bottom="96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Times New Roman" w:hAnsi="Times New Roman" w:eastAsia="Noto Sans CJK SC"/>
        <w:b w:val="0"/>
        <w:color w:val="777777"/>
        <w:sz w:val="16"/>
      </w:rPr>
      <w:t>面部关键点检测与对称轴预测对比模型补充实验及数据清单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3F9706"/>
    <w:rsid w:val="19F11501"/>
    <w:rsid w:val="1FE3130E"/>
    <w:rsid w:val="295B52D1"/>
    <w:rsid w:val="57FFA47E"/>
    <w:rsid w:val="5F781BA5"/>
    <w:rsid w:val="6E57D39B"/>
    <w:rsid w:val="6FFE3825"/>
    <w:rsid w:val="7F6BECF5"/>
    <w:rsid w:val="7FAFCE60"/>
    <w:rsid w:val="9D5EA091"/>
    <w:rsid w:val="B7AF596B"/>
    <w:rsid w:val="BF4B4A8E"/>
    <w:rsid w:val="BF8F2408"/>
    <w:rsid w:val="BFBB8A39"/>
    <w:rsid w:val="BFD6968B"/>
    <w:rsid w:val="BFDF4A01"/>
    <w:rsid w:val="C7B2B870"/>
    <w:rsid w:val="D5FF19FA"/>
    <w:rsid w:val="DEFF1C31"/>
    <w:rsid w:val="E7DD7BE4"/>
    <w:rsid w:val="ED28CA78"/>
    <w:rsid w:val="F7E5B2AA"/>
    <w:rsid w:val="FFCBD719"/>
    <w:rsid w:val="FFF5E047"/>
    <w:rsid w:val="FFFF60A5"/>
    <w:rsid w:val="FFFFB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Caption CN"/>
    <w:uiPriority w:val="0"/>
    <w:pPr>
      <w:keepNext/>
      <w:spacing w:before="100" w:after="60" w:line="276" w:lineRule="auto"/>
    </w:pPr>
    <w:rPr>
      <w:rFonts w:ascii="Times New Roman" w:hAnsi="Times New Roman" w:eastAsia="Noto Sans CJK SC" w:cstheme="minorBidi"/>
      <w:b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边楠雁</cp:lastModifiedBy>
  <dcterms:modified xsi:type="dcterms:W3CDTF">2026-08-04T19:46:14Z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6EBFC754DE5BFF28B79F716A5AF194F6_42</vt:lpwstr>
  </property>
</Properties>
</file>