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PHẦN BÁO CÁO TV1 – HOÀNG</w:t>
      </w:r>
    </w:p>
    <w:p>
      <w:pPr>
        <w:pStyle w:val="Subtitle"/>
      </w:pPr>
      <w:r>
        <w:t>CSC12003 – Hệ quản trị Cơ sở dữ liệu | Nhóm 10 | Seminar 08/12/2026</w:t>
      </w:r>
    </w:p>
    <w:p>
      <w:pPr>
        <w:pStyle w:val="Caption"/>
      </w:pPr>
      <w:r>
        <w:t>Tình trạng: Bản nền tảng để nghiệm thu G1; chưa có bằng chứng thực thi SSMS; không phải kết quả demo của TV2–TV4.</w:t>
      </w:r>
    </w:p>
    <w:p>
      <w:pPr>
        <w:pStyle w:val="Heading1"/>
      </w:pPr>
      <w:r>
        <w:t>1. Giới thiệu – câu hỏi nghiên cứu</w:t>
      </w:r>
    </w:p>
    <w:p>
      <w:r>
        <w:t>Tình huống: trong một cửa hàng đồ uống và thức ăn, giá bán có thể thay đổi sau nhiều lần UPDATE. Nếu bảng chỉ giữ giá hiện tại, ứng dụng không đủ dữ liệu để trả lời “vào một thời điểm quá khứ, hệ thống ghi nhận giá bao nhiêu?”. Nhóm dùng cùng một bộ dữ liệu để so sánh hai cách: tự lưu lịch sử bằng Trigger và SQL Server System-Versioned Temporal Table. [1][2]</w:t>
      </w:r>
    </w:p>
    <w:p>
      <w:r>
        <w:t>Câu hỏi trung tâm từ đề bài: Nếu Trigger + History Table đã mô phỏng được Temporal Database, tại sao DBMS vẫn cung cấp tính năng temporal native? Báo cáo TV1 đặt giả thuyết về độ tự động hóa, cú pháp truy vấn và chi phí bảo trì; việc xác nhận luận điểm phải dựa vào kết quả TV2–TV4, không điền kết luận thực nghiệm giả. [1]</w:t>
      </w:r>
    </w:p>
    <w:p>
      <w:pPr>
        <w:pStyle w:val="Heading1"/>
      </w:pPr>
      <w:r>
        <w:t>2. Cơ sở lý thuyết</w:t>
      </w:r>
    </w:p>
    <w:p>
      <w:pPr>
        <w:pStyle w:val="Heading2"/>
      </w:pPr>
      <w:r>
        <w:t>2.1. DBMS thông thường và lịch sử tự xây</w:t>
      </w:r>
    </w:p>
    <w:p>
      <w:r>
        <w:t>Bảng quan hệ thông thường lưu giá trị hiện tại do ứng dụng quản lý; câu lệnh UPDATE có thể thay thế giá trị cũ. Muốn truy vấn lịch sử, nhà phát triển cần chủ động thiết kế History Table, thời gian hiệu lực, Trigger và truy vấn lịch sử. Trigger trên SQL Server vận hành trên tập inserted/deleted, không được giả định một lần DML chỉ tác động một dòng. [2][6]</w:t>
      </w:r>
    </w:p>
    <w:p>
      <w:pPr>
        <w:pStyle w:val="Heading2"/>
      </w:pPr>
      <w:r>
        <w:t>2.2. Ba khái niệm thời gian</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AE9F2"/>
          </w:tcPr>
          <w:p>
            <w:pPr>
              <w:spacing w:after="20"/>
            </w:pPr>
            <w:r>
              <w:rPr>
                <w:sz w:val="16"/>
              </w:rPr>
              <w:t>Khái niệm</w:t>
            </w:r>
          </w:p>
        </w:tc>
        <w:tc>
          <w:tcPr>
            <w:tcW w:type="dxa" w:w="3264"/>
            <w:shd w:fill="DAE9F2"/>
          </w:tcPr>
          <w:p>
            <w:pPr>
              <w:spacing w:after="20"/>
            </w:pPr>
            <w:r>
              <w:rPr>
                <w:sz w:val="16"/>
              </w:rPr>
              <w:t>Ý nghĩa</w:t>
            </w:r>
          </w:p>
        </w:tc>
        <w:tc>
          <w:tcPr>
            <w:tcW w:type="dxa" w:w="3264"/>
            <w:shd w:fill="DAE9F2"/>
          </w:tcPr>
          <w:p>
            <w:pPr>
              <w:spacing w:after="20"/>
            </w:pPr>
            <w:r>
              <w:rPr>
                <w:sz w:val="16"/>
              </w:rPr>
              <w:t>Ví dụ</w:t>
            </w:r>
          </w:p>
        </w:tc>
      </w:tr>
      <w:tr>
        <w:tc>
          <w:tcPr>
            <w:tcW w:type="dxa" w:w="3264"/>
            <w:vAlign w:val="center"/>
          </w:tcPr>
          <w:p>
            <w:pPr>
              <w:spacing w:after="20"/>
            </w:pPr>
            <w:r>
              <w:rPr>
                <w:sz w:val="16"/>
              </w:rPr>
              <w:t>System time</w:t>
            </w:r>
          </w:p>
        </w:tc>
        <w:tc>
          <w:tcPr>
            <w:tcW w:type="dxa" w:w="3264"/>
            <w:vAlign w:val="center"/>
          </w:tcPr>
          <w:p>
            <w:pPr>
              <w:spacing w:after="20"/>
            </w:pPr>
            <w:r>
              <w:rPr>
                <w:sz w:val="16"/>
              </w:rPr>
              <w:t>Thời gian hệ thống ghi nhận phiên bản</w:t>
            </w:r>
          </w:p>
        </w:tc>
        <w:tc>
          <w:tcPr>
            <w:tcW w:type="dxa" w:w="3264"/>
            <w:vAlign w:val="center"/>
          </w:tcPr>
          <w:p>
            <w:pPr>
              <w:spacing w:after="20"/>
            </w:pPr>
            <w:r>
              <w:rPr>
                <w:sz w:val="16"/>
              </w:rPr>
              <w:t>Bản giá 25.000 còn hiện hành trước một UPDATE đã commit</w:t>
            </w:r>
          </w:p>
        </w:tc>
      </w:tr>
      <w:tr>
        <w:tc>
          <w:tcPr>
            <w:tcW w:type="dxa" w:w="3264"/>
            <w:vAlign w:val="center"/>
          </w:tcPr>
          <w:p>
            <w:pPr>
              <w:spacing w:after="20"/>
            </w:pPr>
            <w:r>
              <w:rPr>
                <w:sz w:val="16"/>
              </w:rPr>
              <w:t>Valid/application time</w:t>
            </w:r>
          </w:p>
        </w:tc>
        <w:tc>
          <w:tcPr>
            <w:tcW w:type="dxa" w:w="3264"/>
            <w:vAlign w:val="center"/>
          </w:tcPr>
          <w:p>
            <w:pPr>
              <w:spacing w:after="20"/>
            </w:pPr>
            <w:r>
              <w:rPr>
                <w:sz w:val="16"/>
              </w:rPr>
              <w:t>Thời gian dữ liệu có hiệu lực theo nghiệp vụ</w:t>
            </w:r>
          </w:p>
        </w:tc>
        <w:tc>
          <w:tcPr>
            <w:tcW w:type="dxa" w:w="3264"/>
            <w:vAlign w:val="center"/>
          </w:tcPr>
          <w:p>
            <w:pPr>
              <w:spacing w:after="20"/>
            </w:pPr>
            <w:r>
              <w:rPr>
                <w:sz w:val="16"/>
              </w:rPr>
              <w:t>Khuyến mại áp dụng từ ngày do quản lý định trước</w:t>
            </w:r>
          </w:p>
        </w:tc>
      </w:tr>
      <w:tr>
        <w:tc>
          <w:tcPr>
            <w:tcW w:type="dxa" w:w="3264"/>
            <w:vAlign w:val="center"/>
          </w:tcPr>
          <w:p>
            <w:pPr>
              <w:spacing w:after="20"/>
            </w:pPr>
            <w:r>
              <w:rPr>
                <w:sz w:val="16"/>
              </w:rPr>
              <w:t>Bitemporal</w:t>
            </w:r>
          </w:p>
        </w:tc>
        <w:tc>
          <w:tcPr>
            <w:tcW w:type="dxa" w:w="3264"/>
            <w:vAlign w:val="center"/>
          </w:tcPr>
          <w:p>
            <w:pPr>
              <w:spacing w:after="20"/>
            </w:pPr>
            <w:r>
              <w:rPr>
                <w:sz w:val="16"/>
              </w:rPr>
              <w:t>Kết hợp cả hai chiều</w:t>
            </w:r>
          </w:p>
        </w:tc>
        <w:tc>
          <w:tcPr>
            <w:tcW w:type="dxa" w:w="3264"/>
            <w:vAlign w:val="center"/>
          </w:tcPr>
          <w:p>
            <w:pPr>
              <w:spacing w:after="20"/>
            </w:pPr>
            <w:r>
              <w:rPr>
                <w:sz w:val="16"/>
              </w:rPr>
              <w:t>Giá có thời gian nghiệp vụ và lịch sử sửa đổi trong hệ thống</w:t>
            </w:r>
          </w:p>
        </w:tc>
      </w:tr>
    </w:tbl>
    <w:p/>
    <w:p>
      <w:r>
        <w:t>System-time không nhất thiết bằng business effective time. SQL Server Temporal native theo dõi system-versioning qua cặp cột PERIOD được DBMS quản lý; không mặc nhiên thể hiện lịch giá có hiệu lực theo hợp đồng hay thời gian được nhân viên nhập. [2]</w:t>
      </w:r>
    </w:p>
    <w:p>
      <w:pPr>
        <w:pStyle w:val="Heading2"/>
      </w:pPr>
      <w:r>
        <w:t>2.3. Các thành phần native của SQL Server</w:t>
      </w:r>
    </w:p>
    <w:tbl>
      <w:tblPr>
        <w:tblStyle w:val="TableGrid"/>
        <w:tblW w:type="auto" w:w="0"/>
        <w:jc w:val="center"/>
        <w:tblLook w:firstColumn="1" w:firstRow="1" w:lastColumn="0" w:lastRow="0" w:noHBand="0" w:noVBand="1" w:val="04A0"/>
      </w:tblPr>
      <w:tblGrid>
        <w:gridCol w:w="4896"/>
        <w:gridCol w:w="4896"/>
      </w:tblGrid>
      <w:tr>
        <w:tc>
          <w:tcPr>
            <w:tcW w:type="dxa" w:w="4896"/>
            <w:shd w:fill="DAE9F2"/>
          </w:tcPr>
          <w:p>
            <w:pPr>
              <w:spacing w:after="20"/>
            </w:pPr>
            <w:r>
              <w:rPr>
                <w:sz w:val="16"/>
              </w:rPr>
              <w:t>Thành phần</w:t>
            </w:r>
          </w:p>
        </w:tc>
        <w:tc>
          <w:tcPr>
            <w:tcW w:type="dxa" w:w="4896"/>
            <w:shd w:fill="DAE9F2"/>
          </w:tcPr>
          <w:p>
            <w:pPr>
              <w:spacing w:after="20"/>
            </w:pPr>
            <w:r>
              <w:rPr>
                <w:sz w:val="16"/>
              </w:rPr>
              <w:t>Vai trò</w:t>
            </w:r>
          </w:p>
        </w:tc>
      </w:tr>
      <w:tr>
        <w:tc>
          <w:tcPr>
            <w:tcW w:type="dxa" w:w="4896"/>
            <w:vAlign w:val="center"/>
          </w:tcPr>
          <w:p>
            <w:pPr>
              <w:spacing w:after="20"/>
            </w:pPr>
            <w:r>
              <w:rPr>
                <w:sz w:val="16"/>
              </w:rPr>
              <w:t>Current Table</w:t>
            </w:r>
          </w:p>
        </w:tc>
        <w:tc>
          <w:tcPr>
            <w:tcW w:type="dxa" w:w="4896"/>
            <w:vAlign w:val="center"/>
          </w:tcPr>
          <w:p>
            <w:pPr>
              <w:spacing w:after="20"/>
            </w:pPr>
            <w:r>
              <w:rPr>
                <w:sz w:val="16"/>
              </w:rPr>
              <w:t>Phiên bản còn hiện hành, phải có PK.</w:t>
            </w:r>
          </w:p>
        </w:tc>
      </w:tr>
      <w:tr>
        <w:tc>
          <w:tcPr>
            <w:tcW w:type="dxa" w:w="4896"/>
            <w:vAlign w:val="center"/>
          </w:tcPr>
          <w:p>
            <w:pPr>
              <w:spacing w:after="20"/>
            </w:pPr>
            <w:r>
              <w:rPr>
                <w:sz w:val="16"/>
              </w:rPr>
              <w:t>History Table</w:t>
            </w:r>
          </w:p>
        </w:tc>
        <w:tc>
          <w:tcPr>
            <w:tcW w:type="dxa" w:w="4896"/>
            <w:vAlign w:val="center"/>
          </w:tcPr>
          <w:p>
            <w:pPr>
              <w:spacing w:after="20"/>
            </w:pPr>
            <w:r>
              <w:rPr>
                <w:sz w:val="16"/>
              </w:rPr>
              <w:t>Phiên bản cũ do DBMS quản lý; không có PK/FK riêng.</w:t>
            </w:r>
          </w:p>
        </w:tc>
      </w:tr>
      <w:tr>
        <w:tc>
          <w:tcPr>
            <w:tcW w:type="dxa" w:w="4896"/>
            <w:vAlign w:val="center"/>
          </w:tcPr>
          <w:p>
            <w:pPr>
              <w:spacing w:after="20"/>
            </w:pPr>
            <w:r>
              <w:rPr>
                <w:sz w:val="16"/>
              </w:rPr>
              <w:t>PERIOD FOR SYSTEM_TIME</w:t>
            </w:r>
          </w:p>
        </w:tc>
        <w:tc>
          <w:tcPr>
            <w:tcW w:type="dxa" w:w="4896"/>
            <w:vAlign w:val="center"/>
          </w:tcPr>
          <w:p>
            <w:pPr>
              <w:spacing w:after="20"/>
            </w:pPr>
            <w:r>
              <w:rPr>
                <w:sz w:val="16"/>
              </w:rPr>
              <w:t>Hai cột datetime2 đánh dấu đầu/cuối thời gian phiên bản.</w:t>
            </w:r>
          </w:p>
        </w:tc>
      </w:tr>
      <w:tr>
        <w:tc>
          <w:tcPr>
            <w:tcW w:type="dxa" w:w="4896"/>
            <w:vAlign w:val="center"/>
          </w:tcPr>
          <w:p>
            <w:pPr>
              <w:spacing w:after="20"/>
            </w:pPr>
            <w:r>
              <w:rPr>
                <w:sz w:val="16"/>
              </w:rPr>
              <w:t>SYSTEM_VERSIONING = ON</w:t>
            </w:r>
          </w:p>
        </w:tc>
        <w:tc>
          <w:tcPr>
            <w:tcW w:type="dxa" w:w="4896"/>
            <w:vAlign w:val="center"/>
          </w:tcPr>
          <w:p>
            <w:pPr>
              <w:spacing w:after="20"/>
            </w:pPr>
            <w:r>
              <w:rPr>
                <w:sz w:val="16"/>
              </w:rPr>
              <w:t>Cho phép SQL Server tự lưu phiên bản cũ qua UPDATE/DELETE.</w:t>
            </w:r>
          </w:p>
        </w:tc>
      </w:tr>
      <w:tr>
        <w:tc>
          <w:tcPr>
            <w:tcW w:type="dxa" w:w="4896"/>
            <w:vAlign w:val="center"/>
          </w:tcPr>
          <w:p>
            <w:pPr>
              <w:spacing w:after="20"/>
            </w:pPr>
            <w:r>
              <w:rPr>
                <w:sz w:val="16"/>
              </w:rPr>
              <w:t>FOR SYSTEM_TIME</w:t>
            </w:r>
          </w:p>
        </w:tc>
        <w:tc>
          <w:tcPr>
            <w:tcW w:type="dxa" w:w="4896"/>
            <w:vAlign w:val="center"/>
          </w:tcPr>
          <w:p>
            <w:pPr>
              <w:spacing w:after="20"/>
            </w:pPr>
            <w:r>
              <w:rPr>
                <w:sz w:val="16"/>
              </w:rPr>
              <w:t>AS OF, FROM ... TO, BETWEEN ... AND, CONTAINED IN và ALL.</w:t>
            </w:r>
          </w:p>
        </w:tc>
      </w:tr>
    </w:tbl>
    <w:p/>
    <w:p>
      <w:r>
        <w:t>SQL Server native ghi dấu system time dựa trên mốc UTC khi giao tác bắt đầu. UPDATE có thể tạo history ngay cả khi dữ liệu không thay đổi. `AS OF` giúp tìm phiên bản theo thời điểm, không đồng nghĩa lệnh rollback/restore tự động. History cần được quản lý dung lượng/retention; cấu hình `HISTORY_RETENTION_PERIOD` có trong SQL Server 2017 trở lên, còn system-versioned temporal cơ bản hỗ trợ từ SQL Server 2016. Không mặc định mọi cơ chế retention hoạt động trên bản 2016. [2][4][5][7]</w:t>
      </w:r>
    </w:p>
    <w:p>
      <w:pPr>
        <w:pStyle w:val="Heading2"/>
      </w:pPr>
      <w:r>
        <w:t>2.4. Phạm vi các DBMS</w:t>
      </w:r>
    </w:p>
    <w:p>
      <w:r>
        <w:t>Đề bài yêu cầu so sánh DBMS thông thường và DBMS có temporal support; báo cáo minh họa SQL Server native và Trigger. MariaDB có system-versioned tables; các DBMS có các khả năng và cú pháp khác nhau, nên không thể coi temporal ở mọi sản phẩm là tương đương. Chỉ demo SQL Server theo phạm vi môn học. [1][8]</w:t>
      </w:r>
    </w:p>
    <w:p>
      <w:pPr>
        <w:pStyle w:val="Heading1"/>
      </w:pPr>
      <w:r>
        <w:t>3. Bài toán và yêu cầu nghiệp vụ</w:t>
      </w:r>
    </w:p>
    <w:p>
      <w:pPr>
        <w:pStyle w:val="ListBullet"/>
      </w:pPr>
      <w:r>
        <w:t>BR01: Quản lý danh mục Product với ProductID, ProductCode, ProductName, Category.</w:t>
      </w:r>
    </w:p>
    <w:p>
      <w:pPr>
        <w:pStyle w:val="ListBullet"/>
      </w:pPr>
      <w:r>
        <w:t>BR02: Mỗi Product có tối đa một giá hiện tại trên mỗi nhánh; cho phép sản phẩm mới chưa được định giá.</w:t>
      </w:r>
    </w:p>
    <w:p>
      <w:pPr>
        <w:pStyle w:val="ListBullet"/>
      </w:pPr>
      <w:r>
        <w:t>BR03: Giá không âm, dùng DECIMAL(12,2), CurrencyCode mặc định VND và ghi chú có thể NULL.</w:t>
      </w:r>
    </w:p>
    <w:p>
      <w:pPr>
        <w:pStyle w:val="ListBullet"/>
      </w:pPr>
      <w:r>
        <w:t>BR04: Chỉ cần truy vết giá và ghi chú; không lưu lịch sử đổi tên Product trong thử nghiệm.</w:t>
      </w:r>
    </w:p>
    <w:p>
      <w:pPr>
        <w:pStyle w:val="ListBullet"/>
      </w:pPr>
      <w:r>
        <w:t>BR05: Hai phương pháp phải bắt đầu từ cùng baseline và được kiểm thử theo ma trận thống nhất.</w:t>
      </w:r>
    </w:p>
    <w:p>
      <w:pPr>
        <w:pStyle w:val="Heading1"/>
      </w:pPr>
      <w:r>
        <w:t>4. Thiết kế dữ liệu (Crow’s Foot)</w:t>
      </w:r>
    </w:p>
    <w:p>
      <w:r>
        <w:drawing>
          <wp:inline xmlns:a="http://schemas.openxmlformats.org/drawingml/2006/main" xmlns:pic="http://schemas.openxmlformats.org/drawingml/2006/picture">
            <wp:extent cx="6172200" cy="3785616"/>
            <wp:docPr id="1" name="Picture 1"/>
            <wp:cNvGraphicFramePr>
              <a:graphicFrameLocks noChangeAspect="1"/>
            </wp:cNvGraphicFramePr>
            <a:graphic>
              <a:graphicData uri="http://schemas.openxmlformats.org/drawingml/2006/picture">
                <pic:pic>
                  <pic:nvPicPr>
                    <pic:cNvPr id="0" name="ERD_CrowsFoot.png"/>
                    <pic:cNvPicPr/>
                  </pic:nvPicPr>
                  <pic:blipFill>
                    <a:blip r:embed="rId11"/>
                    <a:stretch>
                      <a:fillRect/>
                    </a:stretch>
                  </pic:blipFill>
                  <pic:spPr>
                    <a:xfrm>
                      <a:off x="0" y="0"/>
                      <a:ext cx="6172200" cy="3785616"/>
                    </a:xfrm>
                    <a:prstGeom prst="rect"/>
                  </pic:spPr>
                </pic:pic>
              </a:graphicData>
            </a:graphic>
          </wp:inline>
        </w:drawing>
      </w:r>
    </w:p>
    <w:p>
      <w:r>
        <w:t>Hình 1. ERD nền TV1. Ký hiệu || = đúng một, o| = không hoặc một. Hai quan hệ đều Product 1 → ProductPrice 0..1. Hai bảng giá là hai nhánh thay thế phục vụ thí nghiệm, không phải supertype/subtype. History chưa được tạo ở G1 và không biểu diễn như FK giữa Current và History.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AE9F2"/>
          </w:tcPr>
          <w:p>
            <w:pPr>
              <w:spacing w:after="20"/>
            </w:pPr>
            <w:r>
              <w:rPr>
                <w:sz w:val="16"/>
              </w:rPr>
              <w:t>Bảng</w:t>
            </w:r>
          </w:p>
        </w:tc>
        <w:tc>
          <w:tcPr>
            <w:tcW w:type="dxa" w:w="2448"/>
            <w:shd w:fill="DAE9F2"/>
          </w:tcPr>
          <w:p>
            <w:pPr>
              <w:spacing w:after="20"/>
            </w:pPr>
            <w:r>
              <w:rPr>
                <w:sz w:val="16"/>
              </w:rPr>
              <w:t>Khóa</w:t>
            </w:r>
          </w:p>
        </w:tc>
        <w:tc>
          <w:tcPr>
            <w:tcW w:type="dxa" w:w="2448"/>
            <w:shd w:fill="DAE9F2"/>
          </w:tcPr>
          <w:p>
            <w:pPr>
              <w:spacing w:after="20"/>
            </w:pPr>
            <w:r>
              <w:rPr>
                <w:sz w:val="16"/>
              </w:rPr>
              <w:t>Thuộc tính nghiệp vụ</w:t>
            </w:r>
          </w:p>
        </w:tc>
        <w:tc>
          <w:tcPr>
            <w:tcW w:type="dxa" w:w="2448"/>
            <w:shd w:fill="DAE9F2"/>
          </w:tcPr>
          <w:p>
            <w:pPr>
              <w:spacing w:after="20"/>
            </w:pPr>
            <w:r>
              <w:rPr>
                <w:sz w:val="16"/>
              </w:rPr>
              <w:t>Sở hữu</w:t>
            </w:r>
          </w:p>
        </w:tc>
      </w:tr>
      <w:tr>
        <w:tc>
          <w:tcPr>
            <w:tcW w:type="dxa" w:w="2448"/>
            <w:vAlign w:val="center"/>
          </w:tcPr>
          <w:p>
            <w:pPr>
              <w:spacing w:after="20"/>
            </w:pPr>
            <w:r>
              <w:rPr>
                <w:sz w:val="16"/>
              </w:rPr>
              <w:t>dbo.Product</w:t>
            </w:r>
          </w:p>
        </w:tc>
        <w:tc>
          <w:tcPr>
            <w:tcW w:type="dxa" w:w="2448"/>
            <w:vAlign w:val="center"/>
          </w:tcPr>
          <w:p>
            <w:pPr>
              <w:spacing w:after="20"/>
            </w:pPr>
            <w:r>
              <w:rPr>
                <w:sz w:val="16"/>
              </w:rPr>
              <w:t>ProductID PK, ProductCode UNIQUE</w:t>
            </w:r>
          </w:p>
        </w:tc>
        <w:tc>
          <w:tcPr>
            <w:tcW w:type="dxa" w:w="2448"/>
            <w:vAlign w:val="center"/>
          </w:tcPr>
          <w:p>
            <w:pPr>
              <w:spacing w:after="20"/>
            </w:pPr>
            <w:r>
              <w:rPr>
                <w:sz w:val="16"/>
              </w:rPr>
              <w:t>ProductName, Category</w:t>
            </w:r>
          </w:p>
        </w:tc>
        <w:tc>
          <w:tcPr>
            <w:tcW w:type="dxa" w:w="2448"/>
            <w:vAlign w:val="center"/>
          </w:tcPr>
          <w:p>
            <w:pPr>
              <w:spacing w:after="20"/>
            </w:pPr>
            <w:r>
              <w:rPr>
                <w:sz w:val="16"/>
              </w:rPr>
              <w:t>Hoàng</w:t>
            </w:r>
          </w:p>
        </w:tc>
      </w:tr>
      <w:tr>
        <w:tc>
          <w:tcPr>
            <w:tcW w:type="dxa" w:w="2448"/>
            <w:vAlign w:val="center"/>
          </w:tcPr>
          <w:p>
            <w:pPr>
              <w:spacing w:after="20"/>
            </w:pPr>
            <w:r>
              <w:rPr>
                <w:sz w:val="16"/>
              </w:rPr>
              <w:t>demo.ProductPrice_Manual</w:t>
            </w:r>
          </w:p>
        </w:tc>
        <w:tc>
          <w:tcPr>
            <w:tcW w:type="dxa" w:w="2448"/>
            <w:vAlign w:val="center"/>
          </w:tcPr>
          <w:p>
            <w:pPr>
              <w:spacing w:after="20"/>
            </w:pPr>
            <w:r>
              <w:rPr>
                <w:sz w:val="16"/>
              </w:rPr>
              <w:t>ProductID PK + FK</w:t>
            </w:r>
          </w:p>
        </w:tc>
        <w:tc>
          <w:tcPr>
            <w:tcW w:type="dxa" w:w="2448"/>
            <w:vAlign w:val="center"/>
          </w:tcPr>
          <w:p>
            <w:pPr>
              <w:spacing w:after="20"/>
            </w:pPr>
            <w:r>
              <w:rPr>
                <w:sz w:val="16"/>
              </w:rPr>
              <w:t>UnitPrice, CurrencyCode, PriceNote</w:t>
            </w:r>
          </w:p>
        </w:tc>
        <w:tc>
          <w:tcPr>
            <w:tcW w:type="dxa" w:w="2448"/>
            <w:vAlign w:val="center"/>
          </w:tcPr>
          <w:p>
            <w:pPr>
              <w:spacing w:after="20"/>
            </w:pPr>
            <w:r>
              <w:rPr>
                <w:sz w:val="16"/>
              </w:rPr>
              <w:t>Hoàng seed; Thùy xây history</w:t>
            </w:r>
          </w:p>
        </w:tc>
      </w:tr>
      <w:tr>
        <w:tc>
          <w:tcPr>
            <w:tcW w:type="dxa" w:w="2448"/>
            <w:vAlign w:val="center"/>
          </w:tcPr>
          <w:p>
            <w:pPr>
              <w:spacing w:after="20"/>
            </w:pPr>
            <w:r>
              <w:rPr>
                <w:sz w:val="16"/>
              </w:rPr>
              <w:t>demo.ProductPrice_Native</w:t>
            </w:r>
          </w:p>
        </w:tc>
        <w:tc>
          <w:tcPr>
            <w:tcW w:type="dxa" w:w="2448"/>
            <w:vAlign w:val="center"/>
          </w:tcPr>
          <w:p>
            <w:pPr>
              <w:spacing w:after="20"/>
            </w:pPr>
            <w:r>
              <w:rPr>
                <w:sz w:val="16"/>
              </w:rPr>
              <w:t>ProductID PK + FK</w:t>
            </w:r>
          </w:p>
        </w:tc>
        <w:tc>
          <w:tcPr>
            <w:tcW w:type="dxa" w:w="2448"/>
            <w:vAlign w:val="center"/>
          </w:tcPr>
          <w:p>
            <w:pPr>
              <w:spacing w:after="20"/>
            </w:pPr>
            <w:r>
              <w:rPr>
                <w:sz w:val="16"/>
              </w:rPr>
              <w:t>UnitPrice, CurrencyCode, PriceNote</w:t>
            </w:r>
          </w:p>
        </w:tc>
        <w:tc>
          <w:tcPr>
            <w:tcW w:type="dxa" w:w="2448"/>
            <w:vAlign w:val="center"/>
          </w:tcPr>
          <w:p>
            <w:pPr>
              <w:spacing w:after="20"/>
            </w:pPr>
            <w:r>
              <w:rPr>
                <w:sz w:val="16"/>
              </w:rPr>
              <w:t>Hoàng seed; Trung bật native</w:t>
            </w:r>
          </w:p>
        </w:tc>
      </w:tr>
      <w:tr>
        <w:tc>
          <w:tcPr>
            <w:tcW w:type="dxa" w:w="2448"/>
            <w:vAlign w:val="center"/>
          </w:tcPr>
          <w:p>
            <w:pPr>
              <w:spacing w:after="20"/>
            </w:pPr>
            <w:r>
              <w:rPr>
                <w:sz w:val="16"/>
              </w:rPr>
              <w:t>demo.SeedState</w:t>
            </w:r>
          </w:p>
        </w:tc>
        <w:tc>
          <w:tcPr>
            <w:tcW w:type="dxa" w:w="2448"/>
            <w:vAlign w:val="center"/>
          </w:tcPr>
          <w:p>
            <w:pPr>
              <w:spacing w:after="20"/>
            </w:pPr>
            <w:r>
              <w:rPr>
                <w:sz w:val="16"/>
              </w:rPr>
              <w:t>SetupKey PK</w:t>
            </w:r>
          </w:p>
        </w:tc>
        <w:tc>
          <w:tcPr>
            <w:tcW w:type="dxa" w:w="2448"/>
            <w:vAlign w:val="center"/>
          </w:tcPr>
          <w:p>
            <w:pPr>
              <w:spacing w:after="20"/>
            </w:pPr>
            <w:r>
              <w:rPr>
                <w:sz w:val="16"/>
              </w:rPr>
              <w:t>SeededAtUtc</w:t>
            </w:r>
          </w:p>
        </w:tc>
        <w:tc>
          <w:tcPr>
            <w:tcW w:type="dxa" w:w="2448"/>
            <w:vAlign w:val="center"/>
          </w:tcPr>
          <w:p>
            <w:pPr>
              <w:spacing w:after="20"/>
            </w:pPr>
            <w:r>
              <w:rPr>
                <w:sz w:val="16"/>
              </w:rPr>
              <w:t>Hoàng – bảng kỹ thuật</w:t>
            </w:r>
          </w:p>
        </w:tc>
      </w:tr>
    </w:tbl>
    <w:p/>
    <w:p>
      <w:pPr>
        <w:pStyle w:val="Heading1"/>
      </w:pPr>
      <w:r>
        <w:t>5. Bộ dữ liệu và kế hoạch thực nghiệm</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AE9F2"/>
          </w:tcPr>
          <w:p>
            <w:pPr>
              <w:spacing w:after="20"/>
            </w:pPr>
            <w:r>
              <w:rPr>
                <w:sz w:val="16"/>
              </w:rPr>
              <w:t>ProductID</w:t>
            </w:r>
          </w:p>
        </w:tc>
        <w:tc>
          <w:tcPr>
            <w:tcW w:type="dxa" w:w="2448"/>
            <w:shd w:fill="DAE9F2"/>
          </w:tcPr>
          <w:p>
            <w:pPr>
              <w:spacing w:after="20"/>
            </w:pPr>
            <w:r>
              <w:rPr>
                <w:sz w:val="16"/>
              </w:rPr>
              <w:t>Sản phẩm</w:t>
            </w:r>
          </w:p>
        </w:tc>
        <w:tc>
          <w:tcPr>
            <w:tcW w:type="dxa" w:w="2448"/>
            <w:shd w:fill="DAE9F2"/>
          </w:tcPr>
          <w:p>
            <w:pPr>
              <w:spacing w:after="20"/>
            </w:pPr>
            <w:r>
              <w:rPr>
                <w:sz w:val="16"/>
              </w:rPr>
              <w:t>Giá ở Manual</w:t>
            </w:r>
          </w:p>
        </w:tc>
        <w:tc>
          <w:tcPr>
            <w:tcW w:type="dxa" w:w="2448"/>
            <w:shd w:fill="DAE9F2"/>
          </w:tcPr>
          <w:p>
            <w:pPr>
              <w:spacing w:after="20"/>
            </w:pPr>
            <w:r>
              <w:rPr>
                <w:sz w:val="16"/>
              </w:rPr>
              <w:t>Giá ở Native</w:t>
            </w:r>
          </w:p>
        </w:tc>
      </w:tr>
      <w:tr>
        <w:tc>
          <w:tcPr>
            <w:tcW w:type="dxa" w:w="2448"/>
            <w:vAlign w:val="center"/>
          </w:tcPr>
          <w:p>
            <w:pPr>
              <w:spacing w:after="20"/>
            </w:pPr>
            <w:r>
              <w:rPr>
                <w:sz w:val="16"/>
              </w:rPr>
              <w:t>101</w:t>
            </w:r>
          </w:p>
        </w:tc>
        <w:tc>
          <w:tcPr>
            <w:tcW w:type="dxa" w:w="2448"/>
            <w:vAlign w:val="center"/>
          </w:tcPr>
          <w:p>
            <w:pPr>
              <w:spacing w:after="20"/>
            </w:pPr>
            <w:r>
              <w:rPr>
                <w:sz w:val="16"/>
              </w:rPr>
              <w:t>Cà phê sữa đá</w:t>
            </w:r>
          </w:p>
        </w:tc>
        <w:tc>
          <w:tcPr>
            <w:tcW w:type="dxa" w:w="2448"/>
            <w:vAlign w:val="center"/>
          </w:tcPr>
          <w:p>
            <w:pPr>
              <w:spacing w:after="20"/>
            </w:pPr>
            <w:r>
              <w:rPr>
                <w:sz w:val="16"/>
              </w:rPr>
              <w:t>25.000 VND</w:t>
            </w:r>
          </w:p>
        </w:tc>
        <w:tc>
          <w:tcPr>
            <w:tcW w:type="dxa" w:w="2448"/>
            <w:vAlign w:val="center"/>
          </w:tcPr>
          <w:p>
            <w:pPr>
              <w:spacing w:after="20"/>
            </w:pPr>
            <w:r>
              <w:rPr>
                <w:sz w:val="16"/>
              </w:rPr>
              <w:t>25.000 VND</w:t>
            </w:r>
          </w:p>
        </w:tc>
      </w:tr>
      <w:tr>
        <w:tc>
          <w:tcPr>
            <w:tcW w:type="dxa" w:w="2448"/>
            <w:vAlign w:val="center"/>
          </w:tcPr>
          <w:p>
            <w:pPr>
              <w:spacing w:after="20"/>
            </w:pPr>
            <w:r>
              <w:rPr>
                <w:sz w:val="16"/>
              </w:rPr>
              <w:t>102</w:t>
            </w:r>
          </w:p>
        </w:tc>
        <w:tc>
          <w:tcPr>
            <w:tcW w:type="dxa" w:w="2448"/>
            <w:vAlign w:val="center"/>
          </w:tcPr>
          <w:p>
            <w:pPr>
              <w:spacing w:after="20"/>
            </w:pPr>
            <w:r>
              <w:rPr>
                <w:sz w:val="16"/>
              </w:rPr>
              <w:t>Trà đào cam sả</w:t>
            </w:r>
          </w:p>
        </w:tc>
        <w:tc>
          <w:tcPr>
            <w:tcW w:type="dxa" w:w="2448"/>
            <w:vAlign w:val="center"/>
          </w:tcPr>
          <w:p>
            <w:pPr>
              <w:spacing w:after="20"/>
            </w:pPr>
            <w:r>
              <w:rPr>
                <w:sz w:val="16"/>
              </w:rPr>
              <w:t>25.000 VND</w:t>
            </w:r>
          </w:p>
        </w:tc>
        <w:tc>
          <w:tcPr>
            <w:tcW w:type="dxa" w:w="2448"/>
            <w:vAlign w:val="center"/>
          </w:tcPr>
          <w:p>
            <w:pPr>
              <w:spacing w:after="20"/>
            </w:pPr>
            <w:r>
              <w:rPr>
                <w:sz w:val="16"/>
              </w:rPr>
              <w:t>25.000 VND</w:t>
            </w:r>
          </w:p>
        </w:tc>
      </w:tr>
      <w:tr>
        <w:tc>
          <w:tcPr>
            <w:tcW w:type="dxa" w:w="2448"/>
            <w:vAlign w:val="center"/>
          </w:tcPr>
          <w:p>
            <w:pPr>
              <w:spacing w:after="20"/>
            </w:pPr>
            <w:r>
              <w:rPr>
                <w:sz w:val="16"/>
              </w:rPr>
              <w:t>103</w:t>
            </w:r>
          </w:p>
        </w:tc>
        <w:tc>
          <w:tcPr>
            <w:tcW w:type="dxa" w:w="2448"/>
            <w:vAlign w:val="center"/>
          </w:tcPr>
          <w:p>
            <w:pPr>
              <w:spacing w:after="20"/>
            </w:pPr>
            <w:r>
              <w:rPr>
                <w:sz w:val="16"/>
              </w:rPr>
              <w:t>Bánh mì thịt</w:t>
            </w:r>
          </w:p>
        </w:tc>
        <w:tc>
          <w:tcPr>
            <w:tcW w:type="dxa" w:w="2448"/>
            <w:vAlign w:val="center"/>
          </w:tcPr>
          <w:p>
            <w:pPr>
              <w:spacing w:after="20"/>
            </w:pPr>
            <w:r>
              <w:rPr>
                <w:sz w:val="16"/>
              </w:rPr>
              <w:t>28.000 VND</w:t>
            </w:r>
          </w:p>
        </w:tc>
        <w:tc>
          <w:tcPr>
            <w:tcW w:type="dxa" w:w="2448"/>
            <w:vAlign w:val="center"/>
          </w:tcPr>
          <w:p>
            <w:pPr>
              <w:spacing w:after="20"/>
            </w:pPr>
            <w:r>
              <w:rPr>
                <w:sz w:val="16"/>
              </w:rPr>
              <w:t>28.000 VND</w:t>
            </w:r>
          </w:p>
        </w:tc>
      </w:tr>
      <w:tr>
        <w:tc>
          <w:tcPr>
            <w:tcW w:type="dxa" w:w="2448"/>
            <w:vAlign w:val="center"/>
          </w:tcPr>
          <w:p>
            <w:pPr>
              <w:spacing w:after="20"/>
            </w:pPr>
            <w:r>
              <w:rPr>
                <w:sz w:val="16"/>
              </w:rPr>
              <w:t>104</w:t>
            </w:r>
          </w:p>
        </w:tc>
        <w:tc>
          <w:tcPr>
            <w:tcW w:type="dxa" w:w="2448"/>
            <w:vAlign w:val="center"/>
          </w:tcPr>
          <w:p>
            <w:pPr>
              <w:spacing w:after="20"/>
            </w:pPr>
            <w:r>
              <w:rPr>
                <w:sz w:val="16"/>
              </w:rPr>
              <w:t>Matcha latte</w:t>
            </w:r>
          </w:p>
        </w:tc>
        <w:tc>
          <w:tcPr>
            <w:tcW w:type="dxa" w:w="2448"/>
            <w:vAlign w:val="center"/>
          </w:tcPr>
          <w:p>
            <w:pPr>
              <w:spacing w:after="20"/>
            </w:pPr>
            <w:r>
              <w:rPr>
                <w:sz w:val="16"/>
              </w:rPr>
              <w:t>45.000 VND</w:t>
            </w:r>
          </w:p>
        </w:tc>
        <w:tc>
          <w:tcPr>
            <w:tcW w:type="dxa" w:w="2448"/>
            <w:vAlign w:val="center"/>
          </w:tcPr>
          <w:p>
            <w:pPr>
              <w:spacing w:after="20"/>
            </w:pPr>
            <w:r>
              <w:rPr>
                <w:sz w:val="16"/>
              </w:rPr>
              <w:t>45.000 VND</w:t>
            </w:r>
          </w:p>
        </w:tc>
      </w:tr>
      <w:tr>
        <w:tc>
          <w:tcPr>
            <w:tcW w:type="dxa" w:w="2448"/>
            <w:vAlign w:val="center"/>
          </w:tcPr>
          <w:p>
            <w:pPr>
              <w:spacing w:after="20"/>
            </w:pPr>
            <w:r>
              <w:rPr>
                <w:sz w:val="16"/>
              </w:rPr>
              <w:t>105</w:t>
            </w:r>
          </w:p>
        </w:tc>
        <w:tc>
          <w:tcPr>
            <w:tcW w:type="dxa" w:w="2448"/>
            <w:vAlign w:val="center"/>
          </w:tcPr>
          <w:p>
            <w:pPr>
              <w:spacing w:after="20"/>
            </w:pPr>
            <w:r>
              <w:rPr>
                <w:sz w:val="16"/>
              </w:rPr>
              <w:t>Bánh quy bơ</w:t>
            </w:r>
          </w:p>
        </w:tc>
        <w:tc>
          <w:tcPr>
            <w:tcW w:type="dxa" w:w="2448"/>
            <w:vAlign w:val="center"/>
          </w:tcPr>
          <w:p>
            <w:pPr>
              <w:spacing w:after="20"/>
            </w:pPr>
            <w:r>
              <w:rPr>
                <w:sz w:val="16"/>
              </w:rPr>
              <w:t>Chưa có</w:t>
            </w:r>
          </w:p>
        </w:tc>
        <w:tc>
          <w:tcPr>
            <w:tcW w:type="dxa" w:w="2448"/>
            <w:vAlign w:val="center"/>
          </w:tcPr>
          <w:p>
            <w:pPr>
              <w:spacing w:after="20"/>
            </w:pPr>
            <w:r>
              <w:rPr>
                <w:sz w:val="16"/>
              </w:rPr>
              <w:t>Chưa có</w:t>
            </w:r>
          </w:p>
        </w:tc>
      </w:tr>
    </w:tbl>
    <w:p/>
    <w:p>
      <w:r>
        <w:t>Đây là dữ liệu minh họa do nhóm tạo, không phải giá thực tế. Hai sản phẩm 101/102 cùng giá gốc để bắt lỗi truy vấn không lọc theo ProductID; 105 phục vụ INSERT; 104 phục vụ DELETE. Toàn bộ INSERT baseline hoàn thành trước khi TV2/TV3 kích hoạt cơ chế lịch sử; do đó không được mô tả chúng là các phiên bản History được ghi nhận sau này.</w:t>
      </w:r>
    </w:p>
    <w:p>
      <w:r>
        <w:t>Hoàng cung cấp `00_create_and_seed.sql` và `01_verify_setup.sql`. Kiệt sở hữu kế hoạch T0–T7; Thùy và Trung triển khai mỗi cách trên bảng riêng và cung cấp kết quả thực nghiệm. Không tự chế các timestamp 01/10–05/10 trong demo: dùng mốc UTC thực thu được từ SQL Server và giữ nhiều giao tác riêng khi muốn chứng minh các version trung gian. [2][4]</w:t>
      </w:r>
    </w:p>
    <w:p>
      <w:pPr>
        <w:pStyle w:val="Heading1"/>
      </w:pPr>
      <w:r>
        <w:t>6. Ranh giới phụ trách và thứ tự công việc</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AE9F2"/>
          </w:tcPr>
          <w:p>
            <w:pPr>
              <w:spacing w:after="20"/>
            </w:pPr>
            <w:r>
              <w:rPr>
                <w:sz w:val="16"/>
              </w:rPr>
              <w:t>Giai đoạn</w:t>
            </w:r>
          </w:p>
        </w:tc>
        <w:tc>
          <w:tcPr>
            <w:tcW w:type="dxa" w:w="3264"/>
            <w:shd w:fill="DAE9F2"/>
          </w:tcPr>
          <w:p>
            <w:pPr>
              <w:spacing w:after="20"/>
            </w:pPr>
            <w:r>
              <w:rPr>
                <w:sz w:val="16"/>
              </w:rPr>
              <w:t>Chịu trách nhiệm</w:t>
            </w:r>
          </w:p>
        </w:tc>
        <w:tc>
          <w:tcPr>
            <w:tcW w:type="dxa" w:w="3264"/>
            <w:shd w:fill="DAE9F2"/>
          </w:tcPr>
          <w:p>
            <w:pPr>
              <w:spacing w:after="20"/>
            </w:pPr>
            <w:r>
              <w:rPr>
                <w:sz w:val="16"/>
              </w:rPr>
              <w:t>Đầu ra / điều kiện</w:t>
            </w:r>
          </w:p>
        </w:tc>
      </w:tr>
      <w:tr>
        <w:tc>
          <w:tcPr>
            <w:tcW w:type="dxa" w:w="3264"/>
            <w:vAlign w:val="center"/>
          </w:tcPr>
          <w:p>
            <w:pPr>
              <w:spacing w:after="20"/>
            </w:pPr>
            <w:r>
              <w:rPr>
                <w:sz w:val="16"/>
              </w:rPr>
              <w:t>G1</w:t>
            </w:r>
          </w:p>
        </w:tc>
        <w:tc>
          <w:tcPr>
            <w:tcW w:type="dxa" w:w="3264"/>
            <w:vAlign w:val="center"/>
          </w:tcPr>
          <w:p>
            <w:pPr>
              <w:spacing w:after="20"/>
            </w:pPr>
            <w:r>
              <w:rPr>
                <w:sz w:val="16"/>
              </w:rPr>
              <w:t>Hoàng + Kiệt</w:t>
            </w:r>
          </w:p>
        </w:tc>
        <w:tc>
          <w:tcPr>
            <w:tcW w:type="dxa" w:w="3264"/>
            <w:vAlign w:val="center"/>
          </w:tcPr>
          <w:p>
            <w:pPr>
              <w:spacing w:after="20"/>
            </w:pPr>
            <w:r>
              <w:rPr>
                <w:sz w:val="16"/>
              </w:rPr>
              <w:t>Schema + baseline, test plan, hợp đồng dữ liệu; SSMS chạy và verify PASS</w:t>
            </w:r>
          </w:p>
        </w:tc>
      </w:tr>
      <w:tr>
        <w:tc>
          <w:tcPr>
            <w:tcW w:type="dxa" w:w="3264"/>
            <w:vAlign w:val="center"/>
          </w:tcPr>
          <w:p>
            <w:pPr>
              <w:spacing w:after="20"/>
            </w:pPr>
            <w:r>
              <w:rPr>
                <w:sz w:val="16"/>
              </w:rPr>
              <w:t>G2</w:t>
            </w:r>
          </w:p>
        </w:tc>
        <w:tc>
          <w:tcPr>
            <w:tcW w:type="dxa" w:w="3264"/>
            <w:vAlign w:val="center"/>
          </w:tcPr>
          <w:p>
            <w:pPr>
              <w:spacing w:after="20"/>
            </w:pPr>
            <w:r>
              <w:rPr>
                <w:sz w:val="16"/>
              </w:rPr>
              <w:t>Thùy || Trung</w:t>
            </w:r>
          </w:p>
        </w:tc>
        <w:tc>
          <w:tcPr>
            <w:tcW w:type="dxa" w:w="3264"/>
            <w:vAlign w:val="center"/>
          </w:tcPr>
          <w:p>
            <w:pPr>
              <w:spacing w:after="20"/>
            </w:pPr>
            <w:r>
              <w:rPr>
                <w:sz w:val="16"/>
              </w:rPr>
              <w:t>ManualHistory/Trigger và System-Versioning chạy độc lập; evidence riêng</w:t>
            </w:r>
          </w:p>
        </w:tc>
      </w:tr>
      <w:tr>
        <w:tc>
          <w:tcPr>
            <w:tcW w:type="dxa" w:w="3264"/>
            <w:vAlign w:val="center"/>
          </w:tcPr>
          <w:p>
            <w:pPr>
              <w:spacing w:after="20"/>
            </w:pPr>
            <w:r>
              <w:rPr>
                <w:sz w:val="16"/>
              </w:rPr>
              <w:t>G3</w:t>
            </w:r>
          </w:p>
        </w:tc>
        <w:tc>
          <w:tcPr>
            <w:tcW w:type="dxa" w:w="3264"/>
            <w:vAlign w:val="center"/>
          </w:tcPr>
          <w:p>
            <w:pPr>
              <w:spacing w:after="20"/>
            </w:pPr>
            <w:r>
              <w:rPr>
                <w:sz w:val="16"/>
              </w:rPr>
              <w:t>Kiệt</w:t>
            </w:r>
          </w:p>
        </w:tc>
        <w:tc>
          <w:tcPr>
            <w:tcW w:type="dxa" w:w="3264"/>
            <w:vAlign w:val="center"/>
          </w:tcPr>
          <w:p>
            <w:pPr>
              <w:spacing w:after="20"/>
            </w:pPr>
            <w:r>
              <w:rPr>
                <w:sz w:val="16"/>
              </w:rPr>
              <w:t>Đối chứng Time Travel, kết luận từ test output</w:t>
            </w:r>
          </w:p>
        </w:tc>
      </w:tr>
      <w:tr>
        <w:tc>
          <w:tcPr>
            <w:tcW w:type="dxa" w:w="3264"/>
            <w:vAlign w:val="center"/>
          </w:tcPr>
          <w:p>
            <w:pPr>
              <w:spacing w:after="20"/>
            </w:pPr>
            <w:r>
              <w:rPr>
                <w:sz w:val="16"/>
              </w:rPr>
              <w:t>G4</w:t>
            </w:r>
          </w:p>
        </w:tc>
        <w:tc>
          <w:tcPr>
            <w:tcW w:type="dxa" w:w="3264"/>
            <w:vAlign w:val="center"/>
          </w:tcPr>
          <w:p>
            <w:pPr>
              <w:spacing w:after="20"/>
            </w:pPr>
            <w:r>
              <w:rPr>
                <w:sz w:val="16"/>
              </w:rPr>
              <w:t>Hoàng + cả nhóm</w:t>
            </w:r>
          </w:p>
        </w:tc>
        <w:tc>
          <w:tcPr>
            <w:tcW w:type="dxa" w:w="3264"/>
            <w:vAlign w:val="center"/>
          </w:tcPr>
          <w:p>
            <w:pPr>
              <w:spacing w:after="20"/>
            </w:pPr>
            <w:r>
              <w:rPr>
                <w:sz w:val="16"/>
              </w:rPr>
              <w:t>Ghép báo cáo, slide, script hướng dẫn; kiểm tra giới hạn seminar</w:t>
            </w:r>
          </w:p>
        </w:tc>
      </w:tr>
    </w:tbl>
    <w:p/>
    <w:p>
      <w:r>
        <w:t>Không có deadlock bắt buộc trong sơ đồ phụ thuộc G1 → G2 → G3 → G4. Kiệt thiết kế test plan từ G1, không phải chờ Thùy và Trung xong mới được bắt đầu. Hoàng tổng hợp Master Report dần theo các phần được nghiệm thu.</w:t>
      </w:r>
    </w:p>
    <w:p>
      <w:pPr>
        <w:pStyle w:val="Heading1"/>
      </w:pPr>
      <w:r>
        <w:t>7. Giới hạn, trách nhiệm nghiệm thu</w:t>
      </w:r>
    </w:p>
    <w:p>
      <w:pPr>
        <w:pStyle w:val="ListBullet"/>
      </w:pPr>
      <w:r>
        <w:t>TV1 không viết Trigger, không tạo bảng History, không bật Temporal trên nhánh Native và không tự điền kết quả đối chứng.</w:t>
      </w:r>
    </w:p>
    <w:p>
      <w:pPr>
        <w:pStyle w:val="ListBullet"/>
      </w:pPr>
      <w:r>
        <w:t>Script TV1 an toàn với dữ liệu mẫu đã đánh dấu, không dùng để reset sau demo; muốn chạy lại từ R0 cần sandbox sạch/snapshot được cấp phép.</w:t>
      </w:r>
    </w:p>
    <w:p>
      <w:pPr>
        <w:pStyle w:val="ListBullet"/>
      </w:pPr>
      <w:r>
        <w:t>TV1 mới qua kiểm tra tĩnh; chưa có kết quả thực thi trong SQL Server thật. G1 chỉ được ký sau khi Hoàng chạy hai script trên SSMS và lưu bằng chứng.</w:t>
      </w:r>
    </w:p>
    <w:p>
      <w:pPr>
        <w:pStyle w:val="ListBullet"/>
      </w:pPr>
      <w:r>
        <w:t>Không so sánh performance native/Trigger bằng một lần đo với 4 dòng dữ liệu; cần môi trường và workload đủ cơ sở nếu thực hiện benchmark.</w:t>
      </w:r>
    </w:p>
    <w:p>
      <w:pPr>
        <w:pStyle w:val="Heading1"/>
      </w:pPr>
      <w:r>
        <w:t>8. Danh mục nguồn</w:t>
      </w:r>
    </w:p>
    <w:p>
      <w:r>
        <w:t>[1] CSC12003, Seminar quá trình K24 2026 TCTA V1, Chủ đề 8, tr. 4–5; quy định seminar và nộp bài, tr. 6–7.</w:t>
      </w:r>
    </w:p>
    <w:p>
      <w:r>
        <w:t>[2] Microsoft Learn, Temporal tables overview, https://learn.microsoft.com/en-us/sql/relational-databases/tables/temporal/overview</w:t>
      </w:r>
    </w:p>
    <w:p>
      <w:r>
        <w:t>[3] Microsoft Learn, Create a system-versioned temporal table, https://learn.microsoft.com/en-us/sql/relational-databases/tables/temporal/create</w:t>
      </w:r>
    </w:p>
    <w:p>
      <w:r>
        <w:t>[4] Microsoft Learn, Query data in a system-versioned temporal table, https://learn.microsoft.com/en-us/sql/relational-databases/tables/temporal/query-data</w:t>
      </w:r>
    </w:p>
    <w:p>
      <w:r>
        <w:t>[5] Microsoft Learn, Temporal table considerations and limitations, https://learn.microsoft.com/en-us/sql/relational-databases/tables/temporal-table-considerations-and-limitations</w:t>
      </w:r>
    </w:p>
    <w:p>
      <w:r>
        <w:t>[6] Microsoft Learn, Create DML triggers to handle multiple rows of data, https://learn.microsoft.com/en-us/sql/relational-databases/triggers/create-dml-triggers-to-handle-multiple-rows-of-data</w:t>
      </w:r>
    </w:p>
    <w:p>
      <w:r>
        <w:t>[7] Microsoft Learn, Manage retention of historical data in system-versioned temporal tables, https://learn.microsoft.com/en-us/sql/relational-databases/tables/manage-retention-of-historical-data-in-system-versioned-temporal-tables</w:t>
      </w:r>
    </w:p>
    <w:p>
      <w:r>
        <w:t>[8] MariaDB documentation, System-Versioned Tables, https://mariadb.com/docs/server/reference/sql-structure/temporal-tables/system-versioned-tables</w:t>
      </w:r>
    </w:p>
    <w:sectPr w:rsidR="00FC693F" w:rsidRPr="0006063C" w:rsidSect="00034616">
      <w:headerReference w:type="default" r:id="rId9"/>
      <w:footerReference w:type="default" r:id="rId10"/>
      <w:pgSz w:w="12240" w:h="15840"/>
      <w:pgMar w:top="1080"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HỌC KỲ 1 • 2026–2027  |  HỒ SƠ TV1 – HOÀNG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CSC12003  •  NHÓM 10  •  CHỦ ĐỀ 8  •  TEMPORAL DATABASE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384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4304C"/>
      <w:sz w:val="28"/>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14304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40"/>
      <w:contextualSpacing/>
    </w:pPr>
    <w:rPr>
      <w:rFonts w:asciiTheme="majorHAnsi" w:eastAsiaTheme="majorEastAsia" w:hAnsiTheme="majorHAnsi" w:cstheme="majorBidi" w:ascii="Aptos Display" w:hAnsi="Aptos Display"/>
      <w:b/>
      <w:color w:val="14304C"/>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