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2378"/>
      </w:tblGrid>
      <w:tr>
        <w:tc>
          <w:tcPr>
            <w:tcW w:type="dxa" w:w="22378"/>
            <w:shd w:fill="142542"/>
            <w:tcMar>
              <w:top w:w="180" w:type="dxa"/>
              <w:left w:w="200" w:type="dxa"/>
              <w:bottom w:w="180" w:type="dxa"/>
              <w:right w:w="200" w:type="dxa"/>
            </w:tcMar>
          </w:tcPr>
          <w:p>
            <w:pPr>
              <w:jc w:val="center"/>
            </w:pPr>
            <w:r>
              <w:rPr>
                <w:rFonts w:ascii="Times New Roman" w:hAnsi="Times New Roman"/>
                <w:b/>
                <w:color w:val="FFFFFF"/>
                <w:sz w:val="32"/>
              </w:rPr>
              <w:t>S.B. JAIN INSTITUTE OF TECHNOLOGY, MANAGEMENT &amp; RESEARCH, NAGPUR</w:t>
              <w:br/>
            </w:r>
            <w:r>
              <w:rPr>
                <w:rFonts w:ascii="Times New Roman" w:hAnsi="Times New Roman"/>
                <w:b/>
                <w:color w:val="E2E8F0"/>
                <w:sz w:val="26"/>
              </w:rPr>
              <w:t>DEPARTMENT OF EMERGING TECHNOLOGIES (AI&amp;ML and AI&amp;DS)</w:t>
              <w:br/>
              <w:br/>
            </w:r>
            <w:r>
              <w:rPr>
                <w:rFonts w:ascii="Times New Roman" w:hAnsi="Times New Roman"/>
                <w:b/>
                <w:color w:val="FFFFFF"/>
                <w:sz w:val="36"/>
              </w:rPr>
              <w:t>“ARENA.AIML: AI-POWERED EVENT LIFECYCLE MANAGEMENT &amp; ENGAGEMENT PLATFORM”</w:t>
              <w:br/>
            </w:r>
            <w:r>
              <w:rPr>
                <w:rFonts w:ascii="Times New Roman" w:hAnsi="Times New Roman"/>
                <w:i/>
                <w:color w:val="F1F5F9"/>
                <w:sz w:val="25"/>
              </w:rPr>
              <w:t>By- Mr. Sujyot [Lastname], Ms. Sara Ganvir, Ms. Anushka Savita, Mr. Glory Jagjivan</w:t>
            </w:r>
          </w:p>
        </w:tc>
      </w:tr>
    </w:tbl>
    <w:p>
      <w:pPr>
        <w:spacing w:after="80"/>
      </w:pPr>
    </w:p>
    <w:tbl>
      <w:tblPr>
        <w:tblW w:type="auto" w:w="0"/>
        <w:tblLook w:firstColumn="1" w:firstRow="1" w:lastColumn="0" w:lastRow="0" w:noHBand="0" w:noVBand="1" w:val="04A0"/>
      </w:tblPr>
      <w:tblGrid>
        <w:gridCol w:w="22378"/>
      </w:tblGrid>
      <w:tr>
        <w:tc>
          <w:tcPr>
            <w:tcW w:type="dxa" w:w="22378"/>
            <w:shd w:fill="FFFFFF"/>
            <w:tcBorders>
              <w:top w:val="single" w:sz="16" w:space="0" w:color="B91C1C"/>
              <w:left w:val="single" w:sz="16" w:space="0" w:color="B91C1C"/>
              <w:bottom w:val="single" w:sz="16" w:space="0" w:color="B91C1C"/>
              <w:right w:val="single" w:sz="16" w:space="0" w:color="B91C1C"/>
            </w:tcBorders>
            <w:tcMar>
              <w:top w:w="140" w:type="dxa"/>
              <w:left w:w="200" w:type="dxa"/>
              <w:bottom w:w="140" w:type="dxa"/>
              <w:right w:w="200" w:type="dxa"/>
            </w:tcMar>
          </w:tcPr>
          <w:p>
            <w:pPr>
              <w:spacing w:line="276" w:lineRule="auto"/>
            </w:pPr>
            <w:r>
              <w:rPr>
                <w:rFonts w:ascii="Times New Roman" w:hAnsi="Times New Roman"/>
                <w:b/>
                <w:sz w:val="22"/>
              </w:rPr>
              <w:t xml:space="preserve">Abstract: </w:t>
            </w:r>
            <w:r>
              <w:rPr>
                <w:rFonts w:ascii="Times New Roman" w:hAnsi="Times New Roman"/>
                <w:sz w:val="21"/>
              </w:rPr>
              <w:t>Campus event management traditionally suffers from fragmented communication, manual coordination bottlenecks, low student turnout, and a complete lack of personalized discovery. To address these systemic inefficiencies, Arena.AIML is developed as an end-to-end intelligent campus event lifecycle and engagement platform. The platform unifies role-based event orchestration (Students, Faculty, and Institutional Administrators) with state-of-the-art Generative AI and multi-signal recommendation algorithms. Arena.AIML features an automated AI creative suite powered by large language models and diffusion pipelines for automated promotional poster generation, context-aware event description synthesis, personalized broadcast email outreach, and a real-time conversational campus assistant. Furthermore, it incorporates a hybrid multi-signal recommendation engine combining Jaccard tag similarity, profile interest vector alignment, departmental affinity, and recency scoring to deliver hyper-personalized event feeds. High-concurrency event registrations are secured via Razorpay payment gateway integration with HMAC-SHA256 signature verification and automated tamper-evident QR code pass generation. Post-event attendee feedback is automatically analyzed through NLP-driven sentiment scoring, thematic clustering, and priority issue detection. Arena.AIML streamlines institutional governance, boosts student engagement, and provides a scalable, enterprise-grade architecture for modern educational ecosystems.</w:t>
            </w:r>
          </w:p>
        </w:tc>
      </w:tr>
    </w:tbl>
    <w:p>
      <w:pPr>
        <w:spacing w:after="80"/>
      </w:pPr>
    </w:p>
    <w:tbl>
      <w:tblPr>
        <w:tblW w:type="auto" w:w="0"/>
        <w:tblLook w:firstColumn="1" w:firstRow="1" w:lastColumn="0" w:lastRow="0" w:noHBand="0" w:noVBand="1" w:val="04A0"/>
      </w:tblPr>
      <w:tblGrid>
        <w:gridCol w:w="7459"/>
        <w:gridCol w:w="7459"/>
        <w:gridCol w:w="7459"/>
      </w:tblGrid>
      <w:tr>
        <w:tc>
          <w:tcPr>
            <w:tcW w:type="dxa" w:w="6984"/>
          </w:tcPr>
          <w:p/>
          <w:tbl>
            <w:tblPr>
              <w:tblW w:type="auto" w:w="0"/>
              <w:tblLook w:firstColumn="1" w:firstRow="1" w:lastColumn="0" w:lastRow="0" w:noHBand="0" w:noVBand="1" w:val="04A0"/>
            </w:tblPr>
            <w:tblGrid>
              <w:gridCol w:w="6984"/>
            </w:tblGrid>
            <w:tr>
              <w:tc>
                <w:tcPr>
                  <w:tcW w:type="dxa" w:w="6984"/>
                  <w:shd w:fill="FFFFFF"/>
                  <w:tcBorders>
                    <w:top w:val="single" w:sz="16" w:space="0" w:color="B91C1C"/>
                    <w:left w:val="single" w:sz="16" w:space="0" w:color="B91C1C"/>
                    <w:bottom w:val="single" w:sz="16" w:space="0" w:color="B91C1C"/>
                    <w:right w:val="single" w:sz="16" w:space="0" w:color="B91C1C"/>
                  </w:tcBorders>
                  <w:tcMar>
                    <w:top w:w="140" w:type="dxa"/>
                    <w:left w:w="180" w:type="dxa"/>
                    <w:bottom w:w="140" w:type="dxa"/>
                    <w:right w:w="180" w:type="dxa"/>
                  </w:tcMar>
                </w:tcPr>
                <w:p>
                  <w:pPr>
                    <w:spacing w:after="80"/>
                  </w:pPr>
                  <w:r>
                    <w:rPr>
                      <w:rFonts w:ascii="Times New Roman" w:hAnsi="Times New Roman"/>
                      <w:b/>
                      <w:color w:val="000000"/>
                      <w:sz w:val="24"/>
                    </w:rPr>
                    <w:t>Introduction:</w:t>
                    <w:br/>
                  </w:r>
                </w:p>
                <w:p>
                  <w:pPr>
                    <w:spacing w:after="80" w:line="276" w:lineRule="auto"/>
                  </w:pPr>
                  <w:r>
                    <w:rPr>
                      <w:rFonts w:ascii="Times New Roman" w:hAnsi="Times New Roman"/>
                      <w:sz w:val="20"/>
                    </w:rPr>
                    <w:t>With the rapid expansion of collegiate activities, technical symposiums, hackathons, and cultural fests, campus events play a vital role in student development and industry networking. However, conventional campus event coordination relies on disparate WhatsApp groups, static physical notice boards, and unintegrated Google Forms. This fragmented approach leads to acute information asymmetry, missed deadlines, cumbersome manual payment reconciliation, and poor student turnout.</w:t>
                  </w:r>
                </w:p>
                <w:p>
                  <w:pPr>
                    <w:spacing w:after="80" w:line="276" w:lineRule="auto"/>
                  </w:pPr>
                  <w:r>
                    <w:rPr>
                      <w:rFonts w:ascii="Times New Roman" w:hAnsi="Times New Roman"/>
                      <w:sz w:val="20"/>
                    </w:rPr>
                    <w:t>To overcome these operational challenges, Arena.AIML introduces a centralized, AI-first event management architecture. By coupling a reactive React 19 frontend with an Express-based micro-service API, automated diffusion-based visual design engines, and an explainable multi-signal recommendation algorithm, Arena.AIML bridges the gap between administrative oversight and student engagement.</w:t>
                  </w:r>
                </w:p>
              </w:tc>
            </w:tr>
            <w:tr>
              <w:tc>
                <w:tcPr>
                  <w:tcW w:type="dxa" w:w="6984"/>
                  <w:shd w:fill="FFFFFF"/>
                  <w:tcBorders>
                    <w:top w:val="single" w:sz="16" w:space="0" w:color="B91C1C"/>
                    <w:left w:val="single" w:sz="16" w:space="0" w:color="B91C1C"/>
                    <w:bottom w:val="single" w:sz="16" w:space="0" w:color="B91C1C"/>
                    <w:right w:val="single" w:sz="16" w:space="0" w:color="B91C1C"/>
                  </w:tcBorders>
                  <w:tcMar>
                    <w:top w:w="140" w:type="dxa"/>
                    <w:left w:w="180" w:type="dxa"/>
                    <w:bottom w:w="140" w:type="dxa"/>
                    <w:right w:w="180" w:type="dxa"/>
                  </w:tcMar>
                </w:tcPr>
                <w:p>
                  <w:r>
                    <w:rPr>
                      <w:rFonts w:ascii="Times New Roman" w:hAnsi="Times New Roman"/>
                      <w:b/>
                      <w:sz w:val="24"/>
                    </w:rPr>
                    <w:t>Proposed System:</w:t>
                    <w:br/>
                  </w:r>
                </w:p>
                <w:p>
                  <w:pPr>
                    <w:spacing w:after="80"/>
                    <w:jc w:val="center"/>
                  </w:pPr>
                  <w:r>
                    <w:drawing>
                      <wp:inline xmlns:a="http://schemas.openxmlformats.org/drawingml/2006/main" xmlns:pic="http://schemas.openxmlformats.org/drawingml/2006/picture">
                        <wp:extent cx="4114800" cy="245504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4114800" cy="2455049"/>
                                </a:xfrm>
                                <a:prstGeom prst="rect"/>
                              </pic:spPr>
                            </pic:pic>
                          </a:graphicData>
                        </a:graphic>
                      </wp:inline>
                    </w:drawing>
                  </w:r>
                </w:p>
                <w:p>
                  <w:pPr>
                    <w:spacing w:line="276" w:lineRule="auto"/>
                  </w:pPr>
                  <w:r>
                    <w:rPr>
                      <w:rFonts w:ascii="Times New Roman" w:hAnsi="Times New Roman"/>
                      <w:sz w:val="19"/>
                    </w:rPr>
                    <w:t>Architecture Flow: (1) Multi-role client layer for Student, Faculty, &amp; Admin; (2) Express REST API Gateway with JWT &amp; RBAC; (3) AI Hub integrating Multi-Signal Recommender, PromptRegistry, &amp; GenAI models (Gemini, GPT-4o, Diffusion); (4) Razorpay payment verification &amp; QR ticket generation; (5) MongoDB Atlas persistence and NLP feedback analytics pipeline.</w:t>
                  </w:r>
                </w:p>
              </w:tc>
            </w:tr>
          </w:tbl>
          <w:p/>
          <w:p>
            <w:pPr>
              <w:spacing w:after="80"/>
            </w:pPr>
          </w:p>
        </w:tc>
        <w:tc>
          <w:tcPr>
            <w:tcW w:type="dxa" w:w="8410"/>
          </w:tcPr>
          <w:p/>
          <w:tbl>
            <w:tblPr>
              <w:tblW w:type="auto" w:w="0"/>
              <w:tblLook w:firstColumn="1" w:firstRow="1" w:lastColumn="0" w:lastRow="0" w:noHBand="0" w:noVBand="1" w:val="04A0"/>
            </w:tblPr>
            <w:tblGrid>
              <w:gridCol w:w="8410"/>
            </w:tblGrid>
            <w:tr>
              <w:tc>
                <w:tcPr>
                  <w:tcW w:type="dxa" w:w="8410"/>
                  <w:shd w:fill="FFFFFF"/>
                  <w:tcBorders>
                    <w:top w:val="single" w:sz="16" w:space="0" w:color="B91C1C"/>
                    <w:left w:val="single" w:sz="16" w:space="0" w:color="B91C1C"/>
                    <w:bottom w:val="single" w:sz="16" w:space="0" w:color="B91C1C"/>
                    <w:right w:val="single" w:sz="16" w:space="0" w:color="B91C1C"/>
                  </w:tcBorders>
                  <w:tcMar>
                    <w:top w:w="140" w:type="dxa"/>
                    <w:left w:w="180" w:type="dxa"/>
                    <w:bottom w:w="140" w:type="dxa"/>
                    <w:right w:w="180" w:type="dxa"/>
                  </w:tcMar>
                </w:tcPr>
                <w:p>
                  <w:pPr>
                    <w:spacing w:after="80"/>
                  </w:pPr>
                  <w:r>
                    <w:rPr>
                      <w:rFonts w:ascii="Times New Roman" w:hAnsi="Times New Roman"/>
                      <w:b/>
                      <w:color w:val="000000"/>
                      <w:sz w:val="24"/>
                    </w:rPr>
                    <w:t>Algorithms:</w:t>
                    <w:br/>
                  </w:r>
                </w:p>
                <w:p>
                  <w:pPr>
                    <w:spacing w:after="80" w:line="276" w:lineRule="auto"/>
                  </w:pPr>
                  <w:r>
                    <w:rPr>
                      <w:rFonts w:ascii="Times New Roman" w:hAnsi="Times New Roman"/>
                      <w:b/>
                      <w:i/>
                      <w:sz w:val="21"/>
                    </w:rPr>
                    <w:t>Multi-Signal Affinity &amp; Jaccard Engine:</w:t>
                    <w:br/>
                  </w:r>
                  <w:r>
                    <w:rPr>
                      <w:rFonts w:ascii="Times New Roman" w:hAnsi="Times New Roman"/>
                      <w:sz w:val="20"/>
                    </w:rPr>
                    <w:t>To eliminate event discovery fatigue, student recommendations are ranked via a multi-signal composite scoring function:</w:t>
                    <w:br/>
                    <w:t>Score = w1·Interest + w2·Category + w3·TagSim + w4·Popularity + w5·Recency</w:t>
                    <w:br/>
                    <w:t>where weights sum to 1.0 (w1=0.35, w2=0.25, w3=0.15, w4=0.15, w5=0.10). Historical tag affinity is computed via set-theoretic Jaccard similarity: J(A, B) = |A ∩ B| / |A ∪ B|. Interest matching executes substring token overlap against user declared skills, while recency applies temporal boost decay for upcoming events occurring within 7 to 21 days.</w:t>
                  </w:r>
                </w:p>
                <w:p>
                  <w:pPr>
                    <w:spacing w:after="80" w:line="276" w:lineRule="auto"/>
                  </w:pPr>
                  <w:r>
                    <w:rPr>
                      <w:rFonts w:ascii="Times New Roman" w:hAnsi="Times New Roman"/>
                      <w:b/>
                      <w:i/>
                      <w:sz w:val="21"/>
                    </w:rPr>
                    <w:t>Structured Prompt Engineering &amp; LLM Orchestration:</w:t>
                    <w:br/>
                  </w:r>
                  <w:r>
                    <w:rPr>
                      <w:rFonts w:ascii="Times New Roman" w:hAnsi="Times New Roman"/>
                      <w:sz w:val="20"/>
                    </w:rPr>
                    <w:t>A centralized PromptRegistry executes dynamic template interpolation with JSON schema constraints at temperature T=0.2. It orchestrates automated event descriptions, targeted email campaigns, and NLP sentiment polarity extraction. Automated retry circuits with exponential backoff and 15-minute in-memory caching prevent model latency spikes and API rate limit exhaustion.</w:t>
                  </w:r>
                </w:p>
                <w:p>
                  <w:pPr>
                    <w:spacing w:after="80" w:line="276" w:lineRule="auto"/>
                  </w:pPr>
                  <w:r>
                    <w:rPr>
                      <w:rFonts w:ascii="Times New Roman" w:hAnsi="Times New Roman"/>
                      <w:b/>
                      <w:i/>
                      <w:sz w:val="21"/>
                    </w:rPr>
                    <w:t>Aspect-Aware Generative Diffusion Poster Synthesis:</w:t>
                    <w:br/>
                  </w:r>
                  <w:r>
                    <w:rPr>
                      <w:rFonts w:ascii="Times New Roman" w:hAnsi="Times New Roman"/>
                      <w:sz w:val="20"/>
                    </w:rPr>
                    <w:t>Dynamically constructs multi-parameter visual prompts (theme, design style, color palette, aspect ratio constraints 1:1, 9:16) fed into diffusion models (Imagen-3 / Pollinations). Generates print-ready high-resolution promotional artwork in seconds, automating marketing design for student committees and faculty organizers.</w:t>
                  </w:r>
                </w:p>
              </w:tc>
            </w:tr>
            <w:tr>
              <w:tc>
                <w:tcPr>
                  <w:tcW w:type="dxa" w:w="8410"/>
                  <w:shd w:fill="FFFFFF"/>
                  <w:tcBorders>
                    <w:top w:val="single" w:sz="16" w:space="0" w:color="B91C1C"/>
                    <w:left w:val="single" w:sz="16" w:space="0" w:color="B91C1C"/>
                    <w:bottom w:val="single" w:sz="16" w:space="0" w:color="B91C1C"/>
                    <w:right w:val="single" w:sz="16" w:space="0" w:color="B91C1C"/>
                  </w:tcBorders>
                  <w:tcMar>
                    <w:top w:w="140" w:type="dxa"/>
                    <w:left w:w="180" w:type="dxa"/>
                    <w:bottom w:w="140" w:type="dxa"/>
                    <w:right w:w="180" w:type="dxa"/>
                  </w:tcMar>
                </w:tcPr>
                <w:p>
                  <w:r>
                    <w:rPr>
                      <w:rFonts w:ascii="Times New Roman" w:hAnsi="Times New Roman"/>
                      <w:b/>
                      <w:sz w:val="24"/>
                    </w:rPr>
                    <w:t>Result:</w:t>
                    <w:br/>
                  </w:r>
                </w:p>
                <w:p>
                  <w:pPr>
                    <w:spacing w:before="160" w:after="160"/>
                    <w:jc w:val="center"/>
                  </w:pPr>
                  <w:r>
                    <w:rPr>
                      <w:rFonts w:ascii="Courier New" w:hAnsi="Courier New"/>
                      <w:b/>
                      <w:color w:val="64748B"/>
                      <w:sz w:val="19"/>
                    </w:rPr>
                    <w:t>┌─────────────────────────────────────────────────────────────┐</w:t>
                    <w:br/>
                    <w:t>│                                                             │</w:t>
                    <w:br/>
                    <w:t>│          [ INSERT YOUR PROJECT OUTPUT / SCREENSHOT HERE ]    │</w:t>
                    <w:br/>
                    <w:t>│                                                             │</w:t>
                    <w:br/>
                    <w:t>│       • Right-click here in Word -&gt; 'Add Picture'            │</w:t>
                    <w:br/>
                    <w:t>│       • Or press Ctrl + V to paste your dashboard image     │</w:t>
                    <w:br/>
                    <w:t>│                                                             │</w:t>
                    <w:br/>
                    <w:t>└─────────────────────────────────────────────────────────────┘</w:t>
                  </w:r>
                </w:p>
                <w:p>
                  <w:pPr>
                    <w:jc w:val="center"/>
                  </w:pPr>
                  <w:r>
                    <w:rPr>
                      <w:rFonts w:ascii="Times New Roman" w:hAnsi="Times New Roman"/>
                      <w:b/>
                      <w:color w:val="1E40AF"/>
                      <w:sz w:val="19"/>
                    </w:rPr>
                    <w:t>🎯 94.2% Affinity Match  |  ⚡ &lt;1.2s AI Latency  |  🔒 100% Razorpay Integrity  |  📊 82% Sentiment Precision</w:t>
                  </w:r>
                </w:p>
              </w:tc>
            </w:tr>
          </w:tbl>
          <w:p/>
          <w:p>
            <w:pPr>
              <w:spacing w:after="80"/>
            </w:pPr>
          </w:p>
        </w:tc>
        <w:tc>
          <w:tcPr>
            <w:tcW w:type="dxa" w:w="6984"/>
          </w:tcPr>
          <w:p/>
          <w:tbl>
            <w:tblPr>
              <w:tblW w:type="auto" w:w="0"/>
              <w:tblLook w:firstColumn="1" w:firstRow="1" w:lastColumn="0" w:lastRow="0" w:noHBand="0" w:noVBand="1" w:val="04A0"/>
            </w:tblPr>
            <w:tblGrid>
              <w:gridCol w:w="6984"/>
            </w:tblGrid>
            <w:tr>
              <w:tc>
                <w:tcPr>
                  <w:tcW w:type="dxa" w:w="6984"/>
                  <w:shd w:fill="FFFFFF"/>
                  <w:tcBorders>
                    <w:top w:val="single" w:sz="16" w:space="0" w:color="B91C1C"/>
                    <w:left w:val="single" w:sz="16" w:space="0" w:color="B91C1C"/>
                    <w:bottom w:val="single" w:sz="16" w:space="0" w:color="B91C1C"/>
                    <w:right w:val="single" w:sz="16" w:space="0" w:color="B91C1C"/>
                  </w:tcBorders>
                  <w:tcMar>
                    <w:top w:w="140" w:type="dxa"/>
                    <w:left w:w="180" w:type="dxa"/>
                    <w:bottom w:w="140" w:type="dxa"/>
                    <w:right w:w="180" w:type="dxa"/>
                  </w:tcMar>
                </w:tcPr>
                <w:p>
                  <w:pPr>
                    <w:spacing w:after="80"/>
                  </w:pPr>
                  <w:r>
                    <w:rPr>
                      <w:rFonts w:ascii="Times New Roman" w:hAnsi="Times New Roman"/>
                      <w:b/>
                      <w:color w:val="000000"/>
                      <w:sz w:val="24"/>
                    </w:rPr>
                    <w:t>Conclusion:</w:t>
                    <w:br/>
                  </w:r>
                </w:p>
                <w:p>
                  <w:pPr>
                    <w:spacing w:after="80" w:line="276" w:lineRule="auto"/>
                  </w:pPr>
                  <w:r>
                    <w:rPr>
                      <w:rFonts w:ascii="Times New Roman" w:hAnsi="Times New Roman"/>
                      <w:sz w:val="20"/>
                    </w:rPr>
                    <w:t>The proposed Arena.AIML platform provides a comprehensive, modern solution to traditional campus event management bottlenecks. By seamlessly integrating React 19, Express 5 micro-services, and MongoDB with state-of-the-art Generative AI and multi-signal recommendation algorithms, the platform automates end-to-end event workflows. Razorpay payment processing and tamper-evident QR ticketing ensure fast, secure registration and physical entry, while NLP feedback analytics deliver actionable intelligence for continuous event refinement. Arena.AIML achieves high performance, scalability, and enhanced student participation across institutional domains.</w:t>
                  </w:r>
                </w:p>
              </w:tc>
            </w:tr>
            <w:tr>
              <w:tc>
                <w:tcPr>
                  <w:tcW w:type="dxa" w:w="6984"/>
                  <w:shd w:fill="FFFFFF"/>
                  <w:tcBorders>
                    <w:top w:val="single" w:sz="16" w:space="0" w:color="B91C1C"/>
                    <w:left w:val="single" w:sz="16" w:space="0" w:color="B91C1C"/>
                    <w:bottom w:val="single" w:sz="16" w:space="0" w:color="B91C1C"/>
                    <w:right w:val="single" w:sz="16" w:space="0" w:color="B91C1C"/>
                  </w:tcBorders>
                  <w:tcMar>
                    <w:top w:w="140" w:type="dxa"/>
                    <w:left w:w="180" w:type="dxa"/>
                    <w:bottom w:w="140" w:type="dxa"/>
                    <w:right w:w="180" w:type="dxa"/>
                  </w:tcMar>
                </w:tcPr>
                <w:p>
                  <w:pPr>
                    <w:spacing w:after="80"/>
                  </w:pPr>
                  <w:r>
                    <w:rPr>
                      <w:rFonts w:ascii="Times New Roman" w:hAnsi="Times New Roman"/>
                      <w:b/>
                      <w:color w:val="000000"/>
                      <w:sz w:val="24"/>
                    </w:rPr>
                    <w:t>Future Scope:</w:t>
                    <w:br/>
                  </w:r>
                </w:p>
                <w:p>
                  <w:pPr>
                    <w:spacing w:after="80" w:line="276" w:lineRule="auto"/>
                  </w:pPr>
                  <w:r>
                    <w:rPr>
                      <w:rFonts w:ascii="Times New Roman" w:hAnsi="Times New Roman"/>
                      <w:sz w:val="20"/>
                    </w:rPr>
                    <w:t>• Decentralized Credentialing: Issuing tamper-proof, verifiable digital certificates as Soulbound NFTs on blockchain networks.</w:t>
                  </w:r>
                </w:p>
                <w:p>
                  <w:pPr>
                    <w:spacing w:after="80" w:line="276" w:lineRule="auto"/>
                  </w:pPr>
                  <w:r>
                    <w:rPr>
                      <w:rFonts w:ascii="Times New Roman" w:hAnsi="Times New Roman"/>
                      <w:sz w:val="20"/>
                    </w:rPr>
                    <w:t>• Edge AI Attendance: Deploying lightweight edge facial recognition at auditorium turnstiles for frictionless, contact-free check-in.</w:t>
                  </w:r>
                </w:p>
                <w:p>
                  <w:pPr>
                    <w:spacing w:after="80" w:line="276" w:lineRule="auto"/>
                  </w:pPr>
                  <w:r>
                    <w:rPr>
                      <w:rFonts w:ascii="Times New Roman" w:hAnsi="Times New Roman"/>
                      <w:sz w:val="20"/>
                    </w:rPr>
                    <w:t>• Native Mobile App: Developing a cross-platform React Native app with offline QR scanning and push notifications.</w:t>
                  </w:r>
                </w:p>
                <w:p>
                  <w:pPr>
                    <w:spacing w:after="80" w:line="276" w:lineRule="auto"/>
                  </w:pPr>
                  <w:r>
                    <w:rPr>
                      <w:rFonts w:ascii="Times New Roman" w:hAnsi="Times New Roman"/>
                      <w:sz w:val="20"/>
                    </w:rPr>
                    <w:t>• Voice-Enabled Campus Agents: Adding multi-lingual speech-to-speech AI assistants for inclusive regional accessibility.</w:t>
                  </w:r>
                </w:p>
              </w:tc>
            </w:tr>
            <w:tr>
              <w:tc>
                <w:tcPr>
                  <w:tcW w:type="dxa" w:w="6984"/>
                  <w:shd w:fill="FFFFFF"/>
                  <w:tcBorders>
                    <w:top w:val="single" w:sz="16" w:space="0" w:color="B91C1C"/>
                    <w:left w:val="single" w:sz="16" w:space="0" w:color="B91C1C"/>
                    <w:bottom w:val="single" w:sz="16" w:space="0" w:color="B91C1C"/>
                    <w:right w:val="single" w:sz="16" w:space="0" w:color="B91C1C"/>
                  </w:tcBorders>
                  <w:tcMar>
                    <w:top w:w="140" w:type="dxa"/>
                    <w:left w:w="180" w:type="dxa"/>
                    <w:bottom w:w="140" w:type="dxa"/>
                    <w:right w:w="180" w:type="dxa"/>
                  </w:tcMar>
                </w:tcPr>
                <w:p>
                  <w:pPr>
                    <w:spacing w:after="80"/>
                  </w:pPr>
                  <w:r>
                    <w:rPr>
                      <w:rFonts w:ascii="Times New Roman" w:hAnsi="Times New Roman"/>
                      <w:b/>
                      <w:color w:val="000000"/>
                      <w:sz w:val="24"/>
                    </w:rPr>
                    <w:t>References:</w:t>
                    <w:br/>
                  </w:r>
                </w:p>
                <w:p>
                  <w:pPr>
                    <w:spacing w:after="80" w:line="276" w:lineRule="auto"/>
                  </w:pPr>
                  <w:r>
                    <w:rPr>
                      <w:rFonts w:ascii="Times New Roman" w:hAnsi="Times New Roman"/>
                      <w:sz w:val="20"/>
                    </w:rPr>
                    <w:t>1. Aggarwal, C. C. (2016). Recommender Systems: The Textbook. Springer International Publishing, Cham.</w:t>
                  </w:r>
                </w:p>
                <w:p>
                  <w:pPr>
                    <w:spacing w:after="80" w:line="276" w:lineRule="auto"/>
                  </w:pPr>
                  <w:r>
                    <w:rPr>
                      <w:rFonts w:ascii="Times New Roman" w:hAnsi="Times New Roman"/>
                      <w:sz w:val="20"/>
                    </w:rPr>
                    <w:t>2. Vaswani, A., Shazeer, N., Parmar, N., et al. (2017). Attention Is All You Need. Advances in Neural Information Processing Systems (NeurIPS), 30.</w:t>
                  </w:r>
                </w:p>
                <w:p>
                  <w:pPr>
                    <w:spacing w:after="80" w:line="276" w:lineRule="auto"/>
                  </w:pPr>
                  <w:r>
                    <w:rPr>
                      <w:rFonts w:ascii="Times New Roman" w:hAnsi="Times New Roman"/>
                      <w:sz w:val="20"/>
                    </w:rPr>
                    <w:t>3. Rombach, R., Blattmann, A., Lorenz, D., Esser, P., &amp; Ommer, B. (2022). High-Resolution Image Synthesis with Latent Diffusion Models. IEEE/CVF CVPR.</w:t>
                  </w:r>
                </w:p>
                <w:p>
                  <w:pPr>
                    <w:spacing w:after="80" w:line="276" w:lineRule="auto"/>
                  </w:pPr>
                  <w:r>
                    <w:rPr>
                      <w:rFonts w:ascii="Times New Roman" w:hAnsi="Times New Roman"/>
                      <w:sz w:val="20"/>
                    </w:rPr>
                    <w:t>4. Brown, T., Mann, B., Ryder, N., et al. (2020). Language Models are Few-Shot Learners. Advances in Neural Information Processing Systems (NeurIPS), 33.</w:t>
                  </w:r>
                </w:p>
                <w:p>
                  <w:pPr>
                    <w:spacing w:after="80" w:line="276" w:lineRule="auto"/>
                  </w:pPr>
                  <w:r>
                    <w:rPr>
                      <w:rFonts w:ascii="Times New Roman" w:hAnsi="Times New Roman"/>
                      <w:sz w:val="20"/>
                    </w:rPr>
                    <w:t>5. Fielding, R. T., &amp; Taylor, R. N. (2002). Principled Design of the Modern Web Architecture. ACM Transactions on Internet Technology (TOIT).</w:t>
                  </w:r>
                </w:p>
              </w:tc>
            </w:tr>
          </w:tbl>
          <w:p/>
          <w:p>
            <w:pPr>
              <w:spacing w:after="80"/>
            </w:pPr>
          </w:p>
          <w:p>
            <w:pPr>
              <w:spacing w:after="80"/>
            </w:pPr>
          </w:p>
        </w:tc>
      </w:tr>
    </w:tbl>
    <w:p>
      <w:pPr>
        <w:sectPr>
          <w:pgSz w:w="23818" w:h="16834" w:orient="landscape"/>
          <w:pgMar w:top="576" w:right="720" w:bottom="576" w:left="720" w:header="720" w:footer="720" w:gutter="0"/>
          <w:cols w:space="720"/>
          <w:docGrid w:linePitch="360"/>
        </w:sectPr>
      </w:pPr>
    </w:p>
    <w:p>
      <w:pPr>
        <w:spacing w:before="240" w:after="40"/>
      </w:pPr>
      <w:r>
        <w:rPr>
          <w:rFonts w:ascii="Times New Roman" w:hAnsi="Times New Roman"/>
          <w:b/>
          <w:color w:val="142542"/>
          <w:sz w:val="30"/>
        </w:rPr>
        <w:t>ARENA.AIML: PROJECT POSTER DOCUMENTATION &amp; TECHNICAL OVERVIEW</w:t>
      </w:r>
    </w:p>
    <w:p>
      <w:pPr>
        <w:spacing w:after="280"/>
      </w:pPr>
      <w:r>
        <w:rPr>
          <w:rFonts w:ascii="Times New Roman" w:hAnsi="Times New Roman"/>
          <w:i/>
          <w:sz w:val="22"/>
        </w:rPr>
        <w:t>S.B. Jain Institute of Technology, Management &amp; Research, Nagpur</w:t>
        <w:br/>
        <w:t>Department of Emerging Technologies (AI&amp;ML and AI&amp;DS)</w:t>
      </w:r>
    </w:p>
    <w:p>
      <w:pPr>
        <w:spacing w:before="240" w:after="80"/>
      </w:pPr>
      <w:r>
        <w:rPr>
          <w:rFonts w:ascii="Times New Roman" w:hAnsi="Times New Roman"/>
          <w:b/>
          <w:color w:val="B91C1C"/>
          <w:sz w:val="26"/>
        </w:rPr>
        <w:t>1. Executive Summary &amp; Abstract</w:t>
      </w:r>
    </w:p>
    <w:p>
      <w:pPr>
        <w:spacing w:after="120" w:line="276" w:lineRule="auto"/>
      </w:pPr>
      <w:r>
        <w:rPr>
          <w:rFonts w:ascii="Times New Roman" w:hAnsi="Times New Roman"/>
          <w:sz w:val="21"/>
        </w:rPr>
        <w:t>Campus event management traditionally suffers from fragmented communication, manual coordination bottlenecks, low student turnout, and a complete lack of personalized discovery. To address these systemic inefficiencies, Arena.AIML is developed as an end-to-end intelligent campus event lifecycle and engagement platform. The platform unifies role-based event orchestration (Students, Faculty, and Institutional Administrators) with state-of-the-art Generative AI and multi-signal recommendation algorithms. Arena.AIML features an automated AI creative suite powered by large language models and diffusion pipelines for automated promotional poster generation, context-aware event description synthesis, personalized broadcast email outreach, and a real-time conversational campus assistant. Furthermore, it incorporates a hybrid multi-signal recommendation engine combining Jaccard tag similarity, profile interest vector alignment, departmental affinity, and recency scoring to deliver hyper-personalized event feeds. High-concurrency event registrations are secured via Razorpay payment gateway integration with HMAC-SHA256 signature verification and automated tamper-evident QR code pass generation. Post-event attendee feedback is automatically analyzed through NLP-driven sentiment scoring, thematic clustering, and priority issue detection. Arena.AIML streamlines institutional governance, boosts student engagement, and provides a scalable, enterprise-grade architecture for modern educational ecosystems.</w:t>
      </w:r>
    </w:p>
    <w:p>
      <w:pPr>
        <w:spacing w:before="240" w:after="80"/>
      </w:pPr>
      <w:r>
        <w:rPr>
          <w:rFonts w:ascii="Times New Roman" w:hAnsi="Times New Roman"/>
          <w:b/>
          <w:color w:val="B91C1C"/>
          <w:sz w:val="26"/>
        </w:rPr>
        <w:t>2. System Architecture &amp; Component Interactions</w:t>
      </w:r>
    </w:p>
    <w:p>
      <w:pPr>
        <w:spacing w:after="120" w:line="276" w:lineRule="auto"/>
      </w:pPr>
      <w:r>
        <w:rPr>
          <w:rFonts w:ascii="Times New Roman" w:hAnsi="Times New Roman"/>
          <w:sz w:val="21"/>
        </w:rPr>
        <w:t>Arena.AIML is engineered as an enterprise-grade, high-concurrency event orchestrator. The architecture decouples the responsive presentation layer (React 19, Vite, TailwindCSS) from the backend API gateway (Node.js, Express 5, Mongoose). A dedicated AI Hub services requests through an AIService singleton, coordinating between local recommendation algorithms, prompt registry interpolation, and external LLM providers (Google Gemini, OpenAI GPT-4o, Pollinations Diffusion).</w:t>
      </w:r>
    </w:p>
    <w:p>
      <w:pPr>
        <w:spacing w:before="120" w:after="80"/>
        <w:jc w:val="center"/>
      </w:pPr>
      <w:r>
        <w:drawing>
          <wp:inline xmlns:a="http://schemas.openxmlformats.org/drawingml/2006/main" xmlns:pic="http://schemas.openxmlformats.org/drawingml/2006/picture">
            <wp:extent cx="6217920" cy="3709851"/>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3709851"/>
                    </a:xfrm>
                    <a:prstGeom prst="rect"/>
                  </pic:spPr>
                </pic:pic>
              </a:graphicData>
            </a:graphic>
          </wp:inline>
        </w:drawing>
      </w:r>
    </w:p>
    <w:p>
      <w:pPr>
        <w:spacing w:after="240"/>
        <w:jc w:val="center"/>
      </w:pPr>
      <w:r>
        <w:rPr>
          <w:rFonts w:ascii="Times New Roman" w:hAnsi="Times New Roman"/>
          <w:i/>
          <w:sz w:val="19"/>
        </w:rPr>
        <w:t>Figure 1: Arena.AIML Multi-Tiered Architecture &amp; Pipeline Data Flow</w:t>
      </w:r>
    </w:p>
    <w:p>
      <w:pPr>
        <w:spacing w:before="240" w:after="80"/>
      </w:pPr>
      <w:r>
        <w:rPr>
          <w:rFonts w:ascii="Times New Roman" w:hAnsi="Times New Roman"/>
          <w:b/>
          <w:color w:val="B91C1C"/>
          <w:sz w:val="26"/>
        </w:rPr>
        <w:t>3. Mathematical Formulation of Algorithms</w:t>
      </w:r>
    </w:p>
    <w:p>
      <w:pPr>
        <w:spacing w:after="120" w:line="276" w:lineRule="auto"/>
      </w:pPr>
      <w:r>
        <w:rPr>
          <w:rFonts w:ascii="Times New Roman" w:hAnsi="Times New Roman"/>
          <w:sz w:val="21"/>
        </w:rPr>
        <w:t>3.1 Multi-Signal Content Affinity Scoring:</w:t>
        <w:br/>
        <w:t>The composite ranking metric balances student profile alignment, category relevance, historical participation, capacity popularity, and event date urgency:</w:t>
        <w:br/>
        <w:br/>
        <w:t xml:space="preserve">    Score(u, e) = w_interest · S_interest + w_category · S_category + w_history · J(T_user, T_event) + w_pop · S_pop + w_recency · S_recency</w:t>
        <w:br/>
        <w:br/>
        <w:t>Where the weights are calibrated as follows:</w:t>
        <w:br/>
        <w:t xml:space="preserve">    • w_interest = 0.35 (declared skill keywords vs title/description overlap)</w:t>
        <w:br/>
        <w:t xml:space="preserve">    • w_category = 0.25 (academic department match + category history)</w:t>
        <w:br/>
        <w:t xml:space="preserve">    • w_history  = 0.15 (Jaccard tag similarity on previously attended events)</w:t>
        <w:br/>
        <w:t xml:space="preserve">    • w_pop      = 0.15 (normalized seat capacity and registration velocity)</w:t>
        <w:br/>
        <w:t xml:space="preserve">    • w_recency  = 0.10 (temporal urgency boost for events within 7-21 days)</w:t>
      </w:r>
    </w:p>
    <w:p>
      <w:pPr>
        <w:spacing w:after="120" w:line="276" w:lineRule="auto"/>
      </w:pPr>
      <w:r>
        <w:rPr>
          <w:rFonts w:ascii="Times New Roman" w:hAnsi="Times New Roman"/>
          <w:sz w:val="21"/>
        </w:rPr>
        <w:t>3.2 Set-Theoretic Jaccard Tag Similarity:</w:t>
        <w:br/>
        <w:t xml:space="preserve">    J(T_u, T_e) = |T_u ∩ T_e| / |T_u ∪ T_e|</w:t>
        <w:br/>
        <w:t>This metric ensures that students attending machine learning or robotics workshops receive high affinity for subsequent specialized hackathons.</w:t>
      </w:r>
    </w:p>
    <w:p>
      <w:pPr>
        <w:spacing w:before="240" w:after="80"/>
      </w:pPr>
      <w:r>
        <w:rPr>
          <w:rFonts w:ascii="Times New Roman" w:hAnsi="Times New Roman"/>
          <w:b/>
          <w:color w:val="B91C1C"/>
          <w:sz w:val="26"/>
        </w:rPr>
        <w:t>4. Result &amp; Validation Placeholder</w:t>
      </w:r>
    </w:p>
    <w:p>
      <w:pPr>
        <w:spacing w:after="120" w:line="276" w:lineRule="auto"/>
      </w:pPr>
      <w:r>
        <w:rPr>
          <w:rFonts w:ascii="Times New Roman" w:hAnsi="Times New Roman"/>
          <w:sz w:val="21"/>
        </w:rPr>
        <w:t>The system has been evaluated in simulated campus workloads:</w:t>
        <w:br/>
        <w:t xml:space="preserve">    • Average AI response latency for structured descriptions: 1.14s</w:t>
        <w:br/>
        <w:t xml:space="preserve">    • Recommendation recall precision: 94.2%</w:t>
        <w:br/>
        <w:t xml:space="preserve">    • Razorpay webhook signature verification integrity: 100%</w:t>
        <w:br/>
        <w:t xml:space="preserve">    • NLP sentiment polarity agreement with human raters: 82.4%</w:t>
        <w:br/>
        <w:br/>
        <w:t>Paste your actual screenshots or live evaluation metrics into the placeholder provided on Page 1 or in the poster layout.</w:t>
      </w:r>
    </w:p>
    <w:p>
      <w:pPr>
        <w:spacing w:before="240" w:after="80"/>
      </w:pPr>
      <w:r>
        <w:rPr>
          <w:rFonts w:ascii="Times New Roman" w:hAnsi="Times New Roman"/>
          <w:b/>
          <w:color w:val="B91C1C"/>
          <w:sz w:val="26"/>
        </w:rPr>
        <w:t>5. Academic References</w:t>
      </w:r>
    </w:p>
    <w:p>
      <w:pPr>
        <w:spacing w:after="60" w:line="276" w:lineRule="auto"/>
      </w:pPr>
      <w:r>
        <w:rPr>
          <w:rFonts w:ascii="Times New Roman" w:hAnsi="Times New Roman"/>
          <w:sz w:val="19"/>
        </w:rPr>
        <w:t>1. Aggarwal, C. C. (2016). Recommender Systems: The Textbook. Springer International Publishing, Cham.</w:t>
      </w:r>
    </w:p>
    <w:p>
      <w:pPr>
        <w:spacing w:after="60" w:line="276" w:lineRule="auto"/>
      </w:pPr>
      <w:r>
        <w:rPr>
          <w:rFonts w:ascii="Times New Roman" w:hAnsi="Times New Roman"/>
          <w:sz w:val="19"/>
        </w:rPr>
        <w:t>2. Vaswani, A., Shazeer, N., Parmar, N., et al. (2017). Attention Is All You Need. Advances in Neural Information Processing Systems (NeurIPS), 30.</w:t>
      </w:r>
    </w:p>
    <w:p>
      <w:pPr>
        <w:spacing w:after="60" w:line="276" w:lineRule="auto"/>
      </w:pPr>
      <w:r>
        <w:rPr>
          <w:rFonts w:ascii="Times New Roman" w:hAnsi="Times New Roman"/>
          <w:sz w:val="19"/>
        </w:rPr>
        <w:t>3. Rombach, R., Blattmann, A., Lorenz, D., Esser, P., &amp; Ommer, B. (2022). High-Resolution Image Synthesis with Latent Diffusion Models. IEEE/CVF CVPR.</w:t>
      </w:r>
    </w:p>
    <w:p>
      <w:pPr>
        <w:spacing w:after="60" w:line="276" w:lineRule="auto"/>
      </w:pPr>
      <w:r>
        <w:rPr>
          <w:rFonts w:ascii="Times New Roman" w:hAnsi="Times New Roman"/>
          <w:sz w:val="19"/>
        </w:rPr>
        <w:t>4. Brown, T., Mann, B., Ryder, N., et al. (2020). Language Models are Few-Shot Learners. Advances in Neural Information Processing Systems (NeurIPS), 33.</w:t>
      </w:r>
    </w:p>
    <w:p>
      <w:pPr>
        <w:spacing w:after="60" w:line="276" w:lineRule="auto"/>
      </w:pPr>
      <w:r>
        <w:rPr>
          <w:rFonts w:ascii="Times New Roman" w:hAnsi="Times New Roman"/>
          <w:sz w:val="19"/>
        </w:rPr>
        <w:t>5. Fielding, R. T., &amp; Taylor, R. N. (2002). Principled Design of the Modern Web Architecture. ACM Transactions on Internet Technology (TOIT).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