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71E3"/>
        </w:rPr>
        <w:t>DATABEHANDLERAVTALE - GLOSEMESTER</w:t>
      </w:r>
    </w:p>
    <w:p>
      <w:r>
        <w:rPr>
          <w:b/>
        </w:rPr>
        <w:t>Gjennomgang og forslag til utfylling av bilagene</w:t>
      </w:r>
    </w:p>
    <w:p>
      <w:r>
        <w:br w:type="page"/>
      </w:r>
    </w:p>
    <w:p>
      <w:pPr>
        <w:pStyle w:val="Heading1"/>
      </w:pPr>
      <w:r>
        <w:t>BILAG A - OPPLYSNINGER OM BEHANDLINGEN</w:t>
      </w:r>
    </w:p>
    <w:p>
      <w:pPr>
        <w:pStyle w:val="Heading2"/>
      </w:pPr>
      <w:r>
        <w:t>A.1 Hovedavtalen</w:t>
      </w:r>
    </w:p>
    <w:p>
      <w:r>
        <w:t>Generell tjenesteavtale/bruksvilkår for GloseMester (aksepteres ved aktivering av tjenesten).</w:t>
      </w:r>
    </w:p>
    <w:p>
      <w:r>
        <w:rPr>
          <w:color w:val="10B981"/>
        </w:rPr>
        <w:t>✅ Dette er OK som det er. Bruksvilkårene aksepteres når skolen aktiverer Feide-integrasjonen.</w:t>
      </w:r>
    </w:p>
    <w:p>
      <w:pPr>
        <w:pStyle w:val="Heading2"/>
      </w:pPr>
      <w:r>
        <w:t>A.2 Formål</w:t>
      </w:r>
    </w:p>
    <w:p>
      <w:r>
        <w:t>Levering av den digitale læringsplattformen GloseMester. Formålet er å gi lærere verktøy for å opprette og administrere gloseprøver, samt gi elever mulighet til å øve på gloser og gjennomføre prøver digitalt via Feide-innlogging.</w:t>
      </w:r>
    </w:p>
    <w:p>
      <w:r>
        <w:rPr>
          <w:color w:val="10B981"/>
        </w:rPr>
        <w:t>✅ Godt beskrevet formål.</w:t>
      </w:r>
    </w:p>
    <w:p>
      <w:pPr>
        <w:pStyle w:val="Heading2"/>
      </w:pPr>
      <w:r>
        <w:t>A.3 Karakteren av behandlingen</w:t>
      </w:r>
    </w:p>
    <w:p>
      <w:r>
        <w:rPr>
          <w:b/>
        </w:rPr>
        <w:t>FORSLAG TIL PRESISERING:</w:t>
      </w:r>
    </w:p>
    <w:p>
      <w:r>
        <w:t>Innsamling, lagring, organisering og visning av nødvendige personopplysninger for å identifisere brukere (via Feide) og koble dem til riktig skole/gruppe. Behandlingen omfatter også lagring av brukernes læringsaktivitet (prøvesvar, resultater og progresjon) for å gi tilbakemelding til elev og lærer.</w:t>
      </w:r>
    </w:p>
    <w:p>
      <w:r>
        <w:rPr>
          <w:b/>
        </w:rPr>
        <w:t>TILLEGG: Konkrete behandlingsaktiviteter inkluderer:</w:t>
      </w:r>
    </w:p>
    <w:p>
      <w:pPr>
        <w:pStyle w:val="ListBullet"/>
      </w:pPr>
      <w:r>
        <w:t>Autentisering via Feide OIDC</w:t>
      </w:r>
    </w:p>
    <w:p>
      <w:pPr>
        <w:pStyle w:val="ListBullet"/>
      </w:pPr>
      <w:r>
        <w:t>Lagring av brukerprofil (navn, e-post, Feide-ID, skoletilhørighet)</w:t>
      </w:r>
    </w:p>
    <w:p>
      <w:pPr>
        <w:pStyle w:val="ListBullet"/>
      </w:pPr>
      <w:r>
        <w:t>Lagring av læreropprettede prøver og ordlister</w:t>
      </w:r>
    </w:p>
    <w:p>
      <w:pPr>
        <w:pStyle w:val="ListBullet"/>
      </w:pPr>
      <w:r>
        <w:t>Registrering av elevsvar og prøveresultater</w:t>
      </w:r>
    </w:p>
    <w:p>
      <w:pPr>
        <w:pStyle w:val="ListBullet"/>
      </w:pPr>
      <w:r>
        <w:t>Generering av statistikk og progresjonsrapporter</w:t>
      </w:r>
    </w:p>
    <w:p>
      <w:pPr>
        <w:pStyle w:val="ListBullet"/>
      </w:pPr>
      <w:r>
        <w:t>Tilgangskontroll basert på lærer/elev-rolle</w:t>
      </w:r>
    </w:p>
    <w:p>
      <w:pPr>
        <w:pStyle w:val="Heading2"/>
      </w:pPr>
      <w:r>
        <w:t>A.4 Typer av personopplysninger</w:t>
      </w:r>
    </w:p>
    <w:p>
      <w:r>
        <w:rPr>
          <w:b/>
        </w:rPr>
        <w:t>KONKRET LISTE (må fylles ut):</w:t>
      </w:r>
    </w:p>
    <w:p>
      <w:r>
        <w:rPr>
          <w:b/>
        </w:rPr>
        <w:t>Identifiseringsopplysninger:</w:t>
      </w:r>
      <w:r>
        <w:t xml:space="preserve"> Navn, Feide-ID (UUID), e-postadresse</w:t>
      </w:r>
    </w:p>
    <w:p>
      <w:r>
        <w:rPr>
          <w:b/>
        </w:rPr>
        <w:t>Kontaktopplysninger:</w:t>
      </w:r>
      <w:r>
        <w:t xml:space="preserve"> E-postadresse (fra Feide)</w:t>
      </w:r>
    </w:p>
    <w:p>
      <w:r>
        <w:rPr>
          <w:b/>
        </w:rPr>
        <w:t>Organisasjonstilhørighet:</w:t>
      </w:r>
      <w:r>
        <w:t xml:space="preserve"> Skole/skoleeier, klasse/gruppe</w:t>
      </w:r>
    </w:p>
    <w:p>
      <w:r>
        <w:rPr>
          <w:b/>
        </w:rPr>
        <w:t>Utdanningsopplysninger:</w:t>
      </w:r>
      <w:r>
        <w:t xml:space="preserve"> Rolle (lærer/elev), prøvesvar, resultater, progresjon</w:t>
      </w:r>
    </w:p>
    <w:p>
      <w:r>
        <w:rPr>
          <w:b/>
        </w:rPr>
        <w:t>Tekniske opplysninger:</w:t>
      </w:r>
      <w:r>
        <w:t xml:space="preserve"> IP-adresse (midlertidig i logger), nettleserinfo (for PWA-funksjon)</w:t>
      </w:r>
    </w:p>
    <w:p/>
    <w:p>
      <w:r>
        <w:rPr>
          <w:color w:val="EAB308"/>
        </w:rPr>
        <w:t>⚠️ VIKTIG: Bekreft at dere IKKE behandler sensitive opplysninger som:</w:t>
      </w:r>
    </w:p>
    <w:p>
      <w:pPr>
        <w:pStyle w:val="ListBullet"/>
      </w:pPr>
      <w:r>
        <w:t>Rasemessig eller etnisk opprinnelse</w:t>
      </w:r>
    </w:p>
    <w:p>
      <w:pPr>
        <w:pStyle w:val="ListBullet"/>
      </w:pPr>
      <w:r>
        <w:t>Politisk oppfatning</w:t>
      </w:r>
    </w:p>
    <w:p>
      <w:pPr>
        <w:pStyle w:val="ListBullet"/>
      </w:pPr>
      <w:r>
        <w:t>Religiøs eller filosofisk overbevisning</w:t>
      </w:r>
    </w:p>
    <w:p>
      <w:pPr>
        <w:pStyle w:val="ListBullet"/>
      </w:pPr>
      <w:r>
        <w:t>Fagforeningsmedlemskap</w:t>
      </w:r>
    </w:p>
    <w:p>
      <w:pPr>
        <w:pStyle w:val="ListBullet"/>
      </w:pPr>
      <w:r>
        <w:t>Genetiske/biometriske data</w:t>
      </w:r>
    </w:p>
    <w:p>
      <w:pPr>
        <w:pStyle w:val="ListBullet"/>
      </w:pPr>
      <w:r>
        <w:t>Helseforhold</w:t>
      </w:r>
    </w:p>
    <w:p>
      <w:pPr>
        <w:pStyle w:val="ListBullet"/>
      </w:pPr>
      <w:r>
        <w:t>Seksuell orientering</w:t>
      </w:r>
    </w:p>
    <w:p>
      <w:pPr>
        <w:pStyle w:val="Heading2"/>
      </w:pPr>
      <w:r>
        <w:t>A.5 Kategorier av registrerte</w:t>
      </w:r>
    </w:p>
    <w:p>
      <w:r>
        <w:t>Elever og lærere (ansatte) tilknyttet Behandlingsansvarlig (skolen/skoleeier) som har aktiv brukertilgang til tjenesten.</w:t>
      </w:r>
    </w:p>
    <w:p/>
    <w:p>
      <w:r>
        <w:rPr>
          <w:b/>
        </w:rPr>
        <w:t>PRESISERING - Aldersgrupper:</w:t>
      </w:r>
    </w:p>
    <w:p>
      <w:r>
        <w:t>Elever: Primært 6-19 år (barneskole, ungdomsskole, videregående)</w:t>
      </w:r>
    </w:p>
    <w:p>
      <w:r>
        <w:t>Lærere: Voksne ansatte ved skole/skoleeier</w:t>
      </w:r>
    </w:p>
    <w:p>
      <w:pPr>
        <w:pStyle w:val="Heading2"/>
      </w:pPr>
      <w:r>
        <w:t>A.6 Varighet av behandlingen</w:t>
      </w:r>
    </w:p>
    <w:p>
      <w:r>
        <w:rPr>
          <w:color w:val="EAB308"/>
        </w:rPr>
        <w:t>⚠️ VELG ETT ALTERNATIV (mangler i dokumentet):</w:t>
      </w:r>
    </w:p>
    <w:p>
      <w:r>
        <w:t>☐ Så lenge Hovedavtalen består</w:t>
      </w:r>
    </w:p>
    <w:p>
      <w:r>
        <w:t>☐ Så lenge Behandlingsansvarlig har aktiv lisens</w:t>
      </w:r>
    </w:p>
    <w:p>
      <w:r>
        <w:rPr>
          <w:b/>
        </w:rPr>
        <w:t>☑ Frem til Behandlingsansvarlig sier opp tjenesten eller trekker tilbake samtykke</w:t>
      </w:r>
    </w:p>
    <w:p>
      <w:r>
        <w:br w:type="page"/>
      </w:r>
    </w:p>
    <w:p>
      <w:pPr>
        <w:pStyle w:val="Heading1"/>
      </w:pPr>
      <w:r>
        <w:t>BILAG B - UNDERDATABEHANDLERE</w:t>
      </w:r>
    </w:p>
    <w:p>
      <w:pPr>
        <w:pStyle w:val="Heading2"/>
      </w:pPr>
      <w:r>
        <w:t>B.1 Godkjenning av endringer</w:t>
      </w:r>
    </w:p>
    <w:p>
      <w:r>
        <w:rPr>
          <w:b/>
        </w:rPr>
        <w:t>FORSLAG (må velges):</w:t>
      </w:r>
    </w:p>
    <w:p>
      <w:r>
        <w:rPr>
          <w:b/>
        </w:rPr>
        <w:t>☑ Generell forhåndsgodkjenning: Behandlingsansvarlig gir generell godkjenning til Databehandler til å engasjere, erstatte eller tilføye Underdatabehandlere, under forutsetning av at Databehandler varsler Behandlingsansvarlig minst 14 dager før endringen gjennomføres. Behandlingsansvarlig kan motsette seg endringen innen varslingsfristen.</w:t>
      </w:r>
    </w:p>
    <w:p>
      <w:pPr>
        <w:pStyle w:val="Heading2"/>
      </w:pPr>
      <w:r>
        <w:t>B.2 Godkjente Underdatabehandlere</w:t>
      </w:r>
    </w:p>
    <w:p>
      <w:r>
        <w:rPr>
          <w:b/>
        </w:rPr>
        <w:t>KOMPLETT LISTE MED DETALJER: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Navn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Tjeneste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Lokasjon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Behandling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Databehandleravtale</w:t>
            </w:r>
          </w:p>
        </w:tc>
      </w:tr>
      <w:tr>
        <w:tc>
          <w:tcPr>
            <w:tcW w:type="dxa" w:w="1728"/>
          </w:tcPr>
          <w:p>
            <w:r>
              <w:t>Google Cloud Platform (Firebase)</w:t>
            </w:r>
          </w:p>
        </w:tc>
        <w:tc>
          <w:tcPr>
            <w:tcW w:type="dxa" w:w="1728"/>
          </w:tcPr>
          <w:p>
            <w:r>
              <w:t>Database, autentisering, hosting</w:t>
            </w:r>
          </w:p>
        </w:tc>
        <w:tc>
          <w:tcPr>
            <w:tcW w:type="dxa" w:w="1728"/>
          </w:tcPr>
          <w:p>
            <w:r>
              <w:t>EU (europe-west1)</w:t>
            </w:r>
          </w:p>
        </w:tc>
        <w:tc>
          <w:tcPr>
            <w:tcW w:type="dxa" w:w="1728"/>
          </w:tcPr>
          <w:p>
            <w:r>
              <w:t>Lagring av brukerdata, prøver, resultater</w:t>
            </w:r>
          </w:p>
        </w:tc>
        <w:tc>
          <w:tcPr>
            <w:tcW w:type="dxa" w:w="1728"/>
          </w:tcPr>
          <w:p>
            <w:r>
              <w:t>Google Cloud Data Processing Amendment</w:t>
            </w:r>
          </w:p>
        </w:tc>
      </w:tr>
      <w:tr>
        <w:tc>
          <w:tcPr>
            <w:tcW w:type="dxa" w:w="1728"/>
          </w:tcPr>
          <w:p>
            <w:r>
              <w:t>Netlify Inc.</w:t>
            </w:r>
          </w:p>
        </w:tc>
        <w:tc>
          <w:tcPr>
            <w:tcW w:type="dxa" w:w="1728"/>
          </w:tcPr>
          <w:p>
            <w:r>
              <w:t>Hosting, serverless functions</w:t>
            </w:r>
          </w:p>
        </w:tc>
        <w:tc>
          <w:tcPr>
            <w:tcW w:type="dxa" w:w="1728"/>
          </w:tcPr>
          <w:p>
            <w:r>
              <w:t>EU (Frankfurt)</w:t>
            </w:r>
          </w:p>
        </w:tc>
        <w:tc>
          <w:tcPr>
            <w:tcW w:type="dxa" w:w="1728"/>
          </w:tcPr>
          <w:p>
            <w:r>
              <w:t>Frontend hosting, Feide OAuth backend</w:t>
            </w:r>
          </w:p>
        </w:tc>
        <w:tc>
          <w:tcPr>
            <w:tcW w:type="dxa" w:w="1728"/>
          </w:tcPr>
          <w:p>
            <w:r>
              <w:t>Netlify DPA</w:t>
            </w:r>
          </w:p>
        </w:tc>
      </w:tr>
      <w:tr>
        <w:tc>
          <w:tcPr>
            <w:tcW w:type="dxa" w:w="1728"/>
          </w:tcPr>
          <w:p>
            <w:r>
              <w:t>Sikt (Feide)</w:t>
            </w:r>
          </w:p>
        </w:tc>
        <w:tc>
          <w:tcPr>
            <w:tcW w:type="dxa" w:w="1728"/>
          </w:tcPr>
          <w:p>
            <w:r>
              <w:t>Identitetsbehandler</w:t>
            </w:r>
          </w:p>
        </w:tc>
        <w:tc>
          <w:tcPr>
            <w:tcW w:type="dxa" w:w="1728"/>
          </w:tcPr>
          <w:p>
            <w:r>
              <w:t>Norge</w:t>
            </w:r>
          </w:p>
        </w:tc>
        <w:tc>
          <w:tcPr>
            <w:tcW w:type="dxa" w:w="1728"/>
          </w:tcPr>
          <w:p>
            <w:r>
              <w:t>Autentisering, identitetsverifisering</w:t>
            </w:r>
          </w:p>
        </w:tc>
        <w:tc>
          <w:tcPr>
            <w:tcW w:type="dxa" w:w="1728"/>
          </w:tcPr>
          <w:p>
            <w:r>
              <w:t>Feides databehandleravtale</w:t>
            </w:r>
          </w:p>
        </w:tc>
      </w:tr>
      <w:tr>
        <w:tc>
          <w:tcPr>
            <w:tcW w:type="dxa" w:w="1728"/>
          </w:tcPr>
          <w:p>
            <w:r>
              <w:t>Vipps MobilePay AS</w:t>
            </w:r>
          </w:p>
        </w:tc>
        <w:tc>
          <w:tcPr>
            <w:tcW w:type="dxa" w:w="1728"/>
          </w:tcPr>
          <w:p>
            <w:r>
              <w:t>Betalingsbehandler</w:t>
            </w:r>
          </w:p>
        </w:tc>
        <w:tc>
          <w:tcPr>
            <w:tcW w:type="dxa" w:w="1728"/>
          </w:tcPr>
          <w:p>
            <w:r>
              <w:t>Norge</w:t>
            </w:r>
          </w:p>
        </w:tc>
        <w:tc>
          <w:tcPr>
            <w:tcW w:type="dxa" w:w="1728"/>
          </w:tcPr>
          <w:p>
            <w:r>
              <w:t>Betalingsprosessering (ikke elevdata)</w:t>
            </w:r>
          </w:p>
        </w:tc>
        <w:tc>
          <w:tcPr>
            <w:tcW w:type="dxa" w:w="1728"/>
          </w:tcPr>
          <w:p>
            <w:r>
              <w:t>Vipps DPA</w:t>
            </w:r>
          </w:p>
        </w:tc>
      </w:tr>
    </w:tbl>
    <w:p/>
    <w:p>
      <w:r>
        <w:rPr>
          <w:color w:val="EAB308"/>
        </w:rPr>
        <w:t>⚠️ VIKTIG: Alle underdatabehandlere har egne databehandleravtaler som overholder GDPR.</w:t>
      </w:r>
    </w:p>
    <w:p>
      <w:r>
        <w:br w:type="page"/>
      </w:r>
    </w:p>
    <w:p>
      <w:pPr>
        <w:pStyle w:val="Heading1"/>
      </w:pPr>
      <w:r>
        <w:t>BILAG C - INSTRUKS OG SIKKERHET</w:t>
      </w:r>
    </w:p>
    <w:p>
      <w:pPr>
        <w:pStyle w:val="Heading2"/>
      </w:pPr>
      <w:r>
        <w:t>C.1 Behandlingens omfang</w:t>
      </w:r>
    </w:p>
    <w:p>
      <w:r>
        <w:rPr>
          <w:color w:val="10B981"/>
        </w:rPr>
        <w:t>✅ Kun som beskrevet i Hovedavtalen og Databehandleravtalen.</w:t>
      </w:r>
    </w:p>
    <w:p>
      <w:pPr>
        <w:pStyle w:val="Heading2"/>
      </w:pPr>
      <w:r>
        <w:t>C.2 Sikkerhetsnivå</w:t>
      </w:r>
    </w:p>
    <w:p>
      <w:r>
        <w:rPr>
          <w:b/>
        </w:rPr>
        <w:t>VELG SIKKERHETSNIVÅ (basert på risikovurdering):</w:t>
      </w:r>
    </w:p>
    <w:p>
      <w:r>
        <w:rPr>
          <w:b/>
        </w:rPr>
        <w:t>☑ Normalt sikkerhetsnivå: Behandlingen omfatter vanlige personopplysninger (navn, kontaktinfo, læringsdata) uten særlige kategorier. Standard sikkerhetstiltak er tilstrekkelig.</w:t>
      </w:r>
    </w:p>
    <w:p>
      <w:r>
        <w:t>☐ Høyt sikkerhetsnivå: Kun nødvendig hvis dere behandler sensitive data (helseopplysninger, etc.)</w:t>
      </w:r>
    </w:p>
    <w:p>
      <w:pPr>
        <w:pStyle w:val="Heading2"/>
      </w:pPr>
      <w:r>
        <w:t>C.3 Styringssystem for informasjonssikkerhet</w:t>
      </w:r>
    </w:p>
    <w:p>
      <w:r>
        <w:rPr>
          <w:b/>
        </w:rPr>
        <w:t>KONKRETE TILTAK IMPLEMENTERT I GLOSEMESTER:</w:t>
      </w:r>
    </w:p>
    <w:p>
      <w:r>
        <w:rPr>
          <w:b/>
        </w:rPr>
        <w:t>Tilgangsstyring:</w:t>
      </w:r>
    </w:p>
    <w:p>
      <w:pPr>
        <w:pStyle w:val="ListBullet2"/>
      </w:pPr>
      <w:r>
        <w:t>Feide OIDC-autentisering (offisiell norsk løsning)</w:t>
      </w:r>
    </w:p>
    <w:p>
      <w:pPr>
        <w:pStyle w:val="ListBullet2"/>
      </w:pPr>
      <w:r>
        <w:t>Rollebasert tilgang (lærer/elev)</w:t>
      </w:r>
    </w:p>
    <w:p>
      <w:pPr>
        <w:pStyle w:val="ListBullet2"/>
      </w:pPr>
      <w:r>
        <w:t>Firestore Security Rules (database-nivå)</w:t>
      </w:r>
    </w:p>
    <w:p>
      <w:pPr>
        <w:pStyle w:val="ListBullet2"/>
      </w:pPr>
      <w:r>
        <w:t>Elever kan IKKE se andre elevers resultater</w:t>
      </w:r>
    </w:p>
    <w:p>
      <w:pPr>
        <w:pStyle w:val="ListBullet2"/>
      </w:pPr>
      <w:r>
        <w:t>Lærere ser kun egne klasser</w:t>
      </w:r>
    </w:p>
    <w:p>
      <w:r>
        <w:rPr>
          <w:b/>
        </w:rPr>
        <w:t>Kryptering:</w:t>
      </w:r>
    </w:p>
    <w:p>
      <w:pPr>
        <w:pStyle w:val="ListBullet2"/>
      </w:pPr>
      <w:r>
        <w:t>HTTPS/TLS for all dataoverføring</w:t>
      </w:r>
    </w:p>
    <w:p>
      <w:pPr>
        <w:pStyle w:val="ListBullet2"/>
      </w:pPr>
      <w:r>
        <w:t>Firebase bruker kryptering at rest</w:t>
      </w:r>
    </w:p>
    <w:p>
      <w:pPr>
        <w:pStyle w:val="ListBullet2"/>
      </w:pPr>
      <w:r>
        <w:t>Tokens kryptert i overføring</w:t>
      </w:r>
    </w:p>
    <w:p>
      <w:r>
        <w:rPr>
          <w:b/>
        </w:rPr>
        <w:t>Logging og overvåking:</w:t>
      </w:r>
    </w:p>
    <w:p>
      <w:pPr>
        <w:pStyle w:val="ListBullet2"/>
      </w:pPr>
      <w:r>
        <w:t>Netlify Function logs (Feide-innlogginger)</w:t>
      </w:r>
    </w:p>
    <w:p>
      <w:pPr>
        <w:pStyle w:val="ListBullet2"/>
      </w:pPr>
      <w:r>
        <w:t>Firebase audit logs</w:t>
      </w:r>
    </w:p>
    <w:p>
      <w:pPr>
        <w:pStyle w:val="ListBullet2"/>
      </w:pPr>
      <w:r>
        <w:t>Automatisk deteksjon av unormal aktivitet</w:t>
      </w:r>
    </w:p>
    <w:p>
      <w:r>
        <w:rPr>
          <w:b/>
        </w:rPr>
        <w:t>Backup og gjenoppretting:</w:t>
      </w:r>
    </w:p>
    <w:p>
      <w:pPr>
        <w:pStyle w:val="ListBullet2"/>
      </w:pPr>
      <w:r>
        <w:t>Firebase automatiske backups</w:t>
      </w:r>
    </w:p>
    <w:p>
      <w:pPr>
        <w:pStyle w:val="ListBullet2"/>
      </w:pPr>
      <w:r>
        <w:t>Point-in-time recovery mulig</w:t>
      </w:r>
    </w:p>
    <w:p>
      <w:pPr>
        <w:pStyle w:val="ListBullet2"/>
      </w:pPr>
      <w:r>
        <w:t>Geografisk replikering (EU)</w:t>
      </w:r>
    </w:p>
    <w:p>
      <w:r>
        <w:rPr>
          <w:b/>
        </w:rPr>
        <w:t>Oppdateringer og patching:</w:t>
      </w:r>
    </w:p>
    <w:p>
      <w:pPr>
        <w:pStyle w:val="ListBullet2"/>
      </w:pPr>
      <w:r>
        <w:t>Automatiske sikkerhetsoppdateringer av plattform</w:t>
      </w:r>
    </w:p>
    <w:p>
      <w:pPr>
        <w:pStyle w:val="ListBullet2"/>
      </w:pPr>
      <w:r>
        <w:t>Månedlige reviews av dependencies</w:t>
      </w:r>
    </w:p>
    <w:p>
      <w:pPr>
        <w:pStyle w:val="ListBullet2"/>
      </w:pPr>
      <w:r>
        <w:t>CVE-overvåking</w:t>
      </w:r>
    </w:p>
    <w:p>
      <w:pPr>
        <w:pStyle w:val="Heading2"/>
      </w:pPr>
      <w:r>
        <w:t>C.4 Lokasjon for behandling</w:t>
      </w:r>
    </w:p>
    <w:p>
      <w:r>
        <w:rPr>
          <w:b/>
        </w:rPr>
        <w:t>KONKRET SPESIFIKASJON:</w:t>
      </w:r>
    </w:p>
    <w:p>
      <w:r>
        <w:t>Datalagring: EU (Google Cloud europe-west1, Belgia)</w:t>
      </w:r>
    </w:p>
    <w:p>
      <w:r>
        <w:t>Dataaksessering: Norge (utvikler har tilgang via sikker VPN)</w:t>
      </w:r>
    </w:p>
    <w:p>
      <w:r>
        <w:t>Dataprosessering: EU (Netlify Frankfurt, Firebase EU)</w:t>
      </w:r>
    </w:p>
    <w:p/>
    <w:p>
      <w:r>
        <w:rPr>
          <w:color w:val="10B981"/>
        </w:rPr>
        <w:t>✅ INGEN behandling utenfor EØS</w:t>
      </w:r>
    </w:p>
    <w:p>
      <w:pPr>
        <w:pStyle w:val="Heading2"/>
      </w:pPr>
      <w:r>
        <w:t>C.5 Rutiner for revisjon</w:t>
      </w:r>
    </w:p>
    <w:p>
      <w:r>
        <w:rPr>
          <w:b/>
        </w:rPr>
        <w:t>FORSLAG:</w:t>
      </w:r>
    </w:p>
    <w:p>
      <w:pPr>
        <w:pStyle w:val="ListBullet"/>
      </w:pPr>
      <w:r>
        <w:t>Behandlingsansvarlig kan forespørre dokumentasjon på sikkerhetstiltak (responstid: 14 dager)</w:t>
      </w:r>
    </w:p>
    <w:p>
      <w:pPr>
        <w:pStyle w:val="ListBullet"/>
      </w:pPr>
      <w:r>
        <w:t>Årlig revisjon kan gjennomføres ved gjennomgang av Firebase Audit Logs</w:t>
      </w:r>
    </w:p>
    <w:p>
      <w:pPr>
        <w:pStyle w:val="ListBullet"/>
      </w:pPr>
      <w:r>
        <w:t>Ved mistanke om brudd kan Behandlingsansvarlig kreve umiddelbar revisjon</w:t>
      </w:r>
    </w:p>
    <w:p>
      <w:pPr>
        <w:pStyle w:val="ListBullet"/>
      </w:pPr>
      <w:r>
        <w:t>Databehandler skal gi tilgang til nødvendig dokumentasjon</w:t>
      </w:r>
    </w:p>
    <w:p>
      <w:pPr>
        <w:pStyle w:val="ListBullet"/>
      </w:pPr>
      <w:r>
        <w:t>Fysisk inspeksjon hos underleverandører (Firebase/Netlify) følger deres standard DPA-prosedyrer</w:t>
      </w:r>
    </w:p>
    <w:p>
      <w:pPr>
        <w:pStyle w:val="Heading2"/>
      </w:pPr>
      <w:r>
        <w:t>C.6 Sletting og tilbakelevering</w:t>
      </w:r>
    </w:p>
    <w:p>
      <w:r>
        <w:rPr>
          <w:b/>
        </w:rPr>
        <w:t>KONKRET PROSEDYRE:</w:t>
      </w:r>
    </w:p>
    <w:p>
      <w:r>
        <w:t>Ved avtaleopphør:</w:t>
      </w:r>
    </w:p>
    <w:p>
      <w:pPr>
        <w:pStyle w:val="ListBullet"/>
      </w:pPr>
      <w:r>
        <w:t>Behandlingsansvarlig kan velge mellom:</w:t>
      </w:r>
    </w:p>
    <w:p>
      <w:pPr>
        <w:pStyle w:val="ListBullet2"/>
      </w:pPr>
      <w:r>
        <w:t xml:space="preserve">  a) Tilbakelevering: Eksport av data i JSON-format (maskinlesbart) innen 30 dager</w:t>
      </w:r>
    </w:p>
    <w:p>
      <w:pPr>
        <w:pStyle w:val="ListBullet2"/>
      </w:pPr>
      <w:r>
        <w:t xml:space="preserve">  b) Sletting: Permanent sletting av alle personopplysninger innen 30 dager</w:t>
      </w:r>
    </w:p>
    <w:p/>
    <w:p>
      <w:r>
        <w:t>Sikkerhetskopier slettes automatisk etter 30 dager (Firebase retention policy)</w:t>
      </w:r>
    </w:p>
    <w:p>
      <w:r>
        <w:t>Databehandler bekrefter sletting skriftlig til Behandlingsansvarlig</w:t>
      </w:r>
    </w:p>
    <w:p>
      <w:pPr>
        <w:pStyle w:val="Heading2"/>
      </w:pPr>
      <w:r>
        <w:t>C.7 Sektorspesifikke bestemmelser</w:t>
      </w:r>
    </w:p>
    <w:p>
      <w:r>
        <w:rPr>
          <w:b/>
        </w:rPr>
        <w:t>Relevante lover og forskrifter:</w:t>
      </w:r>
    </w:p>
    <w:p>
      <w:pPr>
        <w:pStyle w:val="ListBullet"/>
      </w:pPr>
      <w:r>
        <w:t>Opplæringslova § 15-1 (Retten til vern av personopplysningar)</w:t>
      </w:r>
    </w:p>
    <w:p>
      <w:pPr>
        <w:pStyle w:val="ListBullet"/>
      </w:pPr>
      <w:r>
        <w:t>Personopplysningsloven</w:t>
      </w:r>
    </w:p>
    <w:p>
      <w:pPr>
        <w:pStyle w:val="ListBullet"/>
      </w:pPr>
      <w:r>
        <w:t>Personvernforordningen (GDPR)</w:t>
      </w:r>
    </w:p>
    <w:p>
      <w:pPr>
        <w:pStyle w:val="ListBullet"/>
      </w:pPr>
      <w:r>
        <w:t>Forskrift til opplæringslova kapittel 22 (Innsamling og behandling av opplysningar)</w:t>
      </w:r>
    </w:p>
    <w:p>
      <w:pPr>
        <w:pStyle w:val="Heading2"/>
      </w:pPr>
      <w:r>
        <w:t>C.8 Brudd på personopplysningssikkerheten</w:t>
      </w:r>
    </w:p>
    <w:p>
      <w:r>
        <w:t>Varsling: E-post til [Behandlingsansvarligs kontaktpunkt] innen 24 timer</w:t>
      </w:r>
    </w:p>
    <w:p>
      <w:r>
        <w:t>Varslingsinnhold: Type brudd, berørte data, estimert omfang, tiltak iverksatt</w:t>
      </w:r>
    </w:p>
    <w:p>
      <w:pPr>
        <w:pStyle w:val="Heading2"/>
      </w:pPr>
      <w:r>
        <w:t>C.9 Kontaktinformasjon</w:t>
      </w:r>
    </w:p>
    <w:p>
      <w:r>
        <w:rPr>
          <w:b/>
        </w:rPr>
        <w:t>DATABEHANDLER (Oksvold EDB):</w:t>
      </w:r>
    </w:p>
    <w:p>
      <w:pPr>
        <w:pStyle w:val="ListBullet"/>
      </w:pPr>
      <w:r>
        <w:t>Kontaktperson: Øyvind Nilsen Oksvold</w:t>
      </w:r>
    </w:p>
    <w:p>
      <w:pPr>
        <w:pStyle w:val="ListBullet"/>
      </w:pPr>
      <w:r>
        <w:t>E-post: oyvind.nilsoks@gmail.com</w:t>
      </w:r>
    </w:p>
    <w:p>
      <w:pPr>
        <w:pStyle w:val="ListBullet"/>
      </w:pPr>
      <w:r>
        <w:t>Telefon: [sett inn]</w:t>
      </w:r>
    </w:p>
    <w:p>
      <w:pPr>
        <w:pStyle w:val="ListBullet"/>
      </w:pPr>
      <w:r>
        <w:t>Adresse: [sett inn forretningsadresse]</w:t>
      </w:r>
    </w:p>
    <w:p/>
    <w:p>
      <w:r>
        <w:rPr>
          <w:b/>
        </w:rPr>
        <w:t>BEHANDLINGSANSVARLIG (Skolen):</w:t>
      </w:r>
    </w:p>
    <w:p>
      <w:r>
        <w:rPr>
          <w:i/>
        </w:rPr>
        <w:t>[Fylles ut av hver skole ved avtaleinngåelse]</w:t>
      </w:r>
    </w:p>
    <w:p>
      <w:r>
        <w:br w:type="page"/>
      </w:r>
    </w:p>
    <w:p>
      <w:pPr>
        <w:pStyle w:val="Heading1"/>
      </w:pPr>
      <w:r>
        <w:t>BILAG D - ENDRINGER</w:t>
      </w:r>
    </w:p>
    <w:p>
      <w:r>
        <w:t>Her dokumenteres eventuelle avvik fra standardteksten eller senere endringer.</w:t>
      </w:r>
    </w:p>
    <w:p/>
    <w:p>
      <w:r>
        <w:rPr>
          <w:b/>
        </w:rPr>
        <w:t>FORSLAG TIL FØRSTE OPPFØRING:</w:t>
      </w:r>
    </w:p>
    <w:p>
      <w:r>
        <w:t>Dato: [Signeringsdato]</w:t>
      </w:r>
    </w:p>
    <w:p>
      <w:r>
        <w:t>Endring: Ingen endringer ved signering. Avtalen inngås med standardvilkår.</w:t>
      </w:r>
    </w:p>
    <w:p>
      <w:r>
        <w:br w:type="page"/>
      </w:r>
    </w:p>
    <w:p>
      <w:pPr>
        <w:pStyle w:val="Heading1"/>
      </w:pPr>
      <w:r>
        <w:t>OPPSUMMERING - NESTE STEG</w:t>
      </w:r>
    </w:p>
    <w:p>
      <w:pPr>
        <w:pStyle w:val="Heading2"/>
      </w:pPr>
      <w:r>
        <w:t>1. Før du sender til skoler:</w:t>
      </w:r>
    </w:p>
    <w:p>
      <w:r>
        <w:rPr>
          <w:b/>
        </w:rPr>
        <w:t>✅ Fyll ut kontaktinformasjon (C.9)</w:t>
      </w:r>
      <w:r>
        <w:t xml:space="preserve"> Ditt telefonnummer og forretningsadresse</w:t>
      </w:r>
    </w:p>
    <w:p>
      <w:r>
        <w:rPr>
          <w:b/>
        </w:rPr>
        <w:t>✅ Bekreft underleverandører (B.2)</w:t>
      </w:r>
      <w:r>
        <w:t xml:space="preserve"> Sjekk at Firebase/Netlify/Feide-detaljer er korrekte</w:t>
      </w:r>
    </w:p>
    <w:p>
      <w:r>
        <w:rPr>
          <w:b/>
        </w:rPr>
        <w:t>✅ Velg varighet (A.6)</w:t>
      </w:r>
      <w:r>
        <w:t xml:space="preserve"> Bestem hvor lenge data lagres etter oppsigelse</w:t>
      </w:r>
    </w:p>
    <w:p>
      <w:r>
        <w:rPr>
          <w:b/>
        </w:rPr>
        <w:t>✅ Juridisk gjennomgang</w:t>
      </w:r>
      <w:r>
        <w:t xml:space="preserve"> Få en advokat til å se over før signering</w:t>
      </w:r>
    </w:p>
    <w:p>
      <w:r>
        <w:rPr>
          <w:b/>
        </w:rPr>
        <w:t>✅ Lag digital signeringsløsning</w:t>
      </w:r>
      <w:r>
        <w:t xml:space="preserve"> F.eks. via Altinn, DocuSign eller lignende</w:t>
      </w:r>
    </w:p>
    <w:p>
      <w:pPr>
        <w:pStyle w:val="Heading2"/>
      </w:pPr>
      <w:r>
        <w:t>2. Når skole skal signere:</w:t>
      </w:r>
    </w:p>
    <w:p>
      <w:pPr>
        <w:pStyle w:val="ListNumber"/>
      </w:pPr>
      <w:r>
        <w:t>1. Behandlingsansvarlig fyller ut sitt org.nummer og kontaktinfo</w:t>
      </w:r>
    </w:p>
    <w:p>
      <w:pPr>
        <w:pStyle w:val="ListNumber"/>
      </w:pPr>
      <w:r>
        <w:t>2. Begge parter signerer elektronisk</w:t>
      </w:r>
    </w:p>
    <w:p>
      <w:pPr>
        <w:pStyle w:val="ListNumber"/>
      </w:pPr>
      <w:r>
        <w:t>3. Hver part beholder ett eksemplar</w:t>
      </w:r>
    </w:p>
    <w:p>
      <w:pPr>
        <w:pStyle w:val="ListNumber"/>
      </w:pPr>
      <w:r>
        <w:t>4. Avtalen aktiveres når begge har signert</w:t>
      </w:r>
    </w:p>
    <w:p>
      <w:pPr>
        <w:pStyle w:val="Heading2"/>
      </w:pPr>
      <w:r>
        <w:t>3. Vedlikehold:</w:t>
      </w:r>
    </w:p>
    <w:p>
      <w:r>
        <w:t>Årlig gjennomgang: Sjekk at underleverandører og sikkerhetstiltak er oppdatert</w:t>
      </w:r>
    </w:p>
    <w:p>
      <w:r>
        <w:t>Ved endringer: Varsle skolene 14 dager før (hvis B.1 er generell godkjenning)</w:t>
      </w:r>
    </w:p>
    <w:p>
      <w:r>
        <w:t>Ved brudd: Følg varslingsprosedyren i C.8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