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월간 연금 포트폴리오 — 2026-05</w:t>
      </w:r>
    </w:p>
    <w:p>
      <w:r>
        <w:rPr>
          <w:b w:val="0"/>
          <w:color w:val="595959"/>
          <w:sz w:val="22"/>
        </w:rPr>
        <w:t>KR DC/IRP 자율주행 SAA · 10-ETF 축약 유니버스 · 21개 PC 모델 비교</w:t>
      </w:r>
    </w:p>
    <w:p>
      <w:r>
        <w:rPr>
          <w:b w:val="0"/>
          <w:color w:val="595959"/>
          <w:sz w:val="20"/>
        </w:rPr>
        <w:t>산출 기준일: 2026-05-05  |  매크로 readings: ECOS + FRED 14/15  |  엔진: agentic SAA pipeline v1</w:t>
      </w:r>
    </w:p>
    <w:p/>
    <w:p>
      <w:r>
        <w:rPr>
          <w:b/>
          <w:color w:val="1F4E79"/>
          <w:sz w:val="30"/>
        </w:rPr>
        <w:t>한 페이지 요약</w:t>
      </w:r>
    </w:p>
    <w:p>
      <w:pPr>
        <w:pStyle w:val="ListBullet"/>
      </w:pPr>
      <w:r>
        <w:rPr>
          <w:b w:val="0"/>
          <w:sz w:val="22"/>
        </w:rPr>
        <w:t>거시 레짐은 **late-cycle** (신뢰도 0.50, 12개월 침체확률 20%) — 성장 견조, 인플레 안정, 유가·환율 구조적 부담.</w:t>
      </w:r>
    </w:p>
    <w:p>
      <w:pPr>
        <w:pStyle w:val="ListBullet"/>
      </w:pPr>
      <w:r>
        <w:rPr>
          <w:b w:val="0"/>
          <w:sz w:val="22"/>
        </w:rPr>
        <w:t>21개 PC 모델 합의로 채택된 ensemble은 **inverse_te** — E[r] 4.98%, σ 5.13%, BT Sharpe 2.51, MDD -4.38%.</w:t>
      </w:r>
    </w:p>
    <w:p>
      <w:pPr>
        <w:pStyle w:val="ListBullet"/>
      </w:pPr>
      <w:r>
        <w:rPr>
          <w:b w:val="0"/>
          <w:sz w:val="22"/>
        </w:rPr>
        <w:t>위험자산 비중 **38.0%** — DC/IRP 70% 한도 대비 보수적 배분 (32.0%p 여유).</w:t>
      </w:r>
    </w:p>
    <w:p>
      <w:pPr>
        <w:pStyle w:val="ListBullet"/>
      </w:pPr>
      <w:r>
        <w:rPr>
          <w:b w:val="0"/>
          <w:sz w:val="22"/>
        </w:rPr>
        <w:t>21개 모델의 ETF별 평균 비중과 CIO 최종 비중이 거의 일치 → 방법론에 무관하게 동일한 결론으로 수렴 (모델 합의가 강함).</w:t>
      </w:r>
    </w:p>
    <w:p>
      <w:r>
        <w:rPr>
          <w:b/>
          <w:color w:val="1F4E79"/>
          <w:sz w:val="30"/>
        </w:rPr>
        <w:t>1. 거시 진단 — 5월 시점 매크로 readings</w:t>
      </w:r>
    </w:p>
    <w:p>
      <w:r>
        <w:rPr>
          <w:b/>
          <w:color w:val="595959"/>
          <w:sz w:val="24"/>
        </w:rPr>
        <w:t>성장</w:t>
      </w:r>
    </w:p>
    <w:p>
      <w:pPr>
        <w:pStyle w:val="ListBullet"/>
      </w:pPr>
      <w:r>
        <w:rPr>
          <w:b w:val="0"/>
          <w:sz w:val="22"/>
        </w:rPr>
        <w:t>GDP YoY 3.63% / 산업생산 YoY 1.20% / 수출 YoY 49.19% / 실업률 2.7%.</w:t>
      </w:r>
    </w:p>
    <w:p>
      <w:pPr>
        <w:pStyle w:val="ListBullet"/>
      </w:pPr>
      <w:r>
        <w:rPr>
          <w:b w:val="0"/>
          <w:sz w:val="22"/>
        </w:rPr>
        <w:t>→ 성장 점수 +0.66 (4축 중 가장 양호)</w:t>
      </w:r>
    </w:p>
    <w:p>
      <w:r>
        <w:rPr>
          <w:b/>
          <w:color w:val="595959"/>
          <w:sz w:val="24"/>
        </w:rPr>
        <w:t>물가</w:t>
      </w:r>
    </w:p>
    <w:p>
      <w:pPr>
        <w:pStyle w:val="ListBullet"/>
      </w:pPr>
      <w:r>
        <w:rPr>
          <w:b w:val="0"/>
          <w:sz w:val="22"/>
        </w:rPr>
        <w:t>CPI YoY 2.16% / 근원 CPI YoY 2.20% / 브렌트유 $113.89/bbl.</w:t>
      </w:r>
    </w:p>
    <w:p>
      <w:pPr>
        <w:pStyle w:val="ListBullet"/>
      </w:pPr>
      <w:r>
        <w:rPr>
          <w:b w:val="0"/>
          <w:sz w:val="22"/>
        </w:rPr>
        <w:t>→ 헤드라인은 BOK 목표(2%) 근방. 다만 유가가 $114로 stagflation 리스크 잠재.</w:t>
      </w:r>
    </w:p>
    <w:p>
      <w:r>
        <w:rPr>
          <w:b/>
          <w:color w:val="595959"/>
          <w:sz w:val="24"/>
        </w:rPr>
        <w:t>통화·금융</w:t>
      </w:r>
    </w:p>
    <w:p>
      <w:pPr>
        <w:pStyle w:val="ListBullet"/>
      </w:pPr>
      <w:r>
        <w:rPr>
          <w:b w:val="0"/>
          <w:sz w:val="22"/>
        </w:rPr>
        <w:t>BOK 기준금리 2.50% / KTB 10Y 3.932% / KTB 3Y 3.615% / 3-10Y 커브 32bp.</w:t>
      </w:r>
    </w:p>
    <w:p>
      <w:pPr>
        <w:pStyle w:val="ListBullet"/>
      </w:pPr>
      <w:r>
        <w:rPr>
          <w:b w:val="0"/>
          <w:sz w:val="22"/>
        </w:rPr>
        <w:t>USD/KRW 1485 / AA- 스프레드 65bp / VIX 17.0 / Fed funds 3.64%.</w:t>
      </w:r>
    </w:p>
    <w:p>
      <w:pPr>
        <w:pStyle w:val="ListBullet"/>
      </w:pPr>
      <w:r>
        <w:rPr>
          <w:b w:val="0"/>
          <w:sz w:val="22"/>
        </w:rPr>
        <w:t>→ BOK 인하 사이클(2.50%), 커브 정상화(+32bp), 크레딧 스프레드 안정.</w:t>
      </w:r>
    </w:p>
    <w:p/>
    <w:p>
      <w:r>
        <w:rPr>
          <w:b/>
          <w:color w:val="1F4E79"/>
          <w:sz w:val="30"/>
        </w:rPr>
        <w:t>2. 최종 추천 포트폴리오 — CIO (inverse_te ensemble)</w:t>
      </w:r>
    </w:p>
    <w:p>
      <w:r>
        <w:rPr>
          <w:b w:val="0"/>
          <w:color w:val="595959"/>
          <w:sz w:val="22"/>
        </w:rPr>
        <w:t>10개 ETF 비중 (내림차순):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ETF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카테고리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비중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423160 KODEX KOFR금리액티브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Cash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14.26%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152380 KODEX 국고채10년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FixedIncome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14.12%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357870 TIGER 머니마켓액티브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Cash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13.48%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305080 TIGER 미국채10년선물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FixedIncome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11.75%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360750 TIGER 미국S&amp;P500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Equity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8.45%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211900 KODEX 배당성장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Equity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8.45%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332620 TIGER 미국투자등급회사채액티브(H)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FixedIncome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8.43%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069500 KODEX 200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Equity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8.28%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133690 TIGER 미국나스닥100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Equity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7.45%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132030 KODEX 골드선물(H)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sz w:val="20"/>
              </w:rPr>
              <w:t>RealAssets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5.34%</w:t>
            </w:r>
          </w:p>
        </w:tc>
      </w:tr>
    </w:tbl>
    <w:p/>
    <w:p>
      <w:r>
        <w:rPr>
          <w:b/>
          <w:color w:val="595959"/>
          <w:sz w:val="24"/>
        </w:rPr>
        <w:t>메트릭</w:t>
      </w:r>
    </w:p>
    <w:p>
      <w:pPr>
        <w:pStyle w:val="ListBullet"/>
      </w:pPr>
      <w:r>
        <w:rPr>
          <w:b w:val="0"/>
          <w:sz w:val="22"/>
        </w:rPr>
        <w:t>기대수익률 E[r] 4.98% / 기대변동성 σ 5.13%</w:t>
      </w:r>
    </w:p>
    <w:p>
      <w:pPr>
        <w:pStyle w:val="ListBullet"/>
      </w:pPr>
      <w:r>
        <w:rPr>
          <w:b w:val="0"/>
          <w:sz w:val="22"/>
        </w:rPr>
        <w:t>백테스트 Sharpe 2.51 (KR 60/40 BM 1.71 대비 ++0.80)</w:t>
      </w:r>
    </w:p>
    <w:p>
      <w:pPr>
        <w:pStyle w:val="ListBullet"/>
      </w:pPr>
      <w:r>
        <w:rPr>
          <w:b w:val="0"/>
          <w:sz w:val="22"/>
        </w:rPr>
        <w:t>백테스트 MDD -4.38% (KR 60/40 BM -13.5%)</w:t>
      </w:r>
    </w:p>
    <w:p>
      <w:pPr>
        <w:pStyle w:val="ListBullet"/>
      </w:pPr>
      <w:r>
        <w:rPr>
          <w:b w:val="0"/>
          <w:sz w:val="22"/>
        </w:rPr>
        <w:t>Tracking Error 8.41% (IPS budget 6% 초과)</w:t>
      </w:r>
    </w:p>
    <w:p>
      <w:pPr>
        <w:pStyle w:val="ListBullet"/>
      </w:pPr>
      <w:r>
        <w:rPr>
          <w:b w:val="0"/>
          <w:sz w:val="22"/>
        </w:rPr>
        <w:t>HHI 0.109 → Effective N 9.2 (이론 max=10) — 분산도 양호</w:t>
      </w:r>
    </w:p>
    <w:p>
      <w:pPr>
        <w:pStyle w:val="ListBullet"/>
      </w:pPr>
      <w:r>
        <w:rPr>
          <w:b w:val="0"/>
          <w:sz w:val="22"/>
        </w:rPr>
        <w:t>IPS 컴플라이언스 80%</w:t>
      </w:r>
    </w:p>
    <w:p>
      <w:r>
        <w:rPr>
          <w:b/>
          <w:color w:val="595959"/>
          <w:sz w:val="24"/>
        </w:rPr>
        <w:t>카테고리별 합계</w:t>
      </w:r>
    </w:p>
    <w:p>
      <w:pPr>
        <w:pStyle w:val="ListBullet"/>
      </w:pPr>
      <w:r>
        <w:rPr>
          <w:b w:val="0"/>
          <w:sz w:val="22"/>
        </w:rPr>
        <w:t>Equity 32.6% (한도 55%) — KR Equity 2개 + US Equity 2개 균형</w:t>
      </w:r>
    </w:p>
    <w:p>
      <w:pPr>
        <w:pStyle w:val="ListBullet"/>
      </w:pPr>
      <w:r>
        <w:rPr>
          <w:b w:val="0"/>
          <w:sz w:val="22"/>
        </w:rPr>
        <w:t>FixedIncome 34.3% (KR 10Y + US 10Y + US IG)</w:t>
      </w:r>
    </w:p>
    <w:p>
      <w:pPr>
        <w:pStyle w:val="ListBullet"/>
      </w:pPr>
      <w:r>
        <w:rPr>
          <w:b w:val="0"/>
          <w:sz w:val="22"/>
        </w:rPr>
        <w:t>RealAssets 5.3% (Gold 단일)</w:t>
      </w:r>
    </w:p>
    <w:p>
      <w:pPr>
        <w:pStyle w:val="ListBullet"/>
      </w:pPr>
      <w:r>
        <w:rPr>
          <w:b w:val="0"/>
          <w:sz w:val="22"/>
        </w:rPr>
        <w:t>Cash 27.7% (KOFR + Money Market)</w:t>
      </w:r>
    </w:p>
    <w:p>
      <w:pPr>
        <w:pStyle w:val="ListBullet"/>
      </w:pPr>
      <w:r>
        <w:rPr>
          <w:b w:val="0"/>
          <w:sz w:val="22"/>
        </w:rPr>
        <w:t>위험자산(Equity+RealAssets) **38.0%** ≤ DC/IRP 70% 한도</w:t>
      </w:r>
    </w:p>
    <w:p/>
    <w:p>
      <w:r>
        <w:rPr>
          <w:b/>
          <w:color w:val="1F4E79"/>
          <w:sz w:val="30"/>
        </w:rPr>
        <w:t>3. 21개 PC 모델은 어떻게 다른가?</w:t>
      </w:r>
    </w:p>
    <w:p>
      <w:r>
        <w:rPr>
          <w:b w:val="0"/>
          <w:sz w:val="22"/>
        </w:rPr>
        <w:t>동일한 IPS 제약(Equity 20–55%, FI 20–70%, RealAsset ≤15%, Cash ≤30%, 종목 ≤25%) 하에서 21개 PC 방법론이 산출한 카테고리 합계입니다. 위험자산 비중 내림차순.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55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Method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Equity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FI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RealAsset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Cash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Risky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market-cap-weight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52.1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27.1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2.7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18.1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54.8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equal-weight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50.0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max-entropy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50.0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cvar-min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50.0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black-litterman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40.3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34.3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9.7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15.6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50.0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tail-risk-parity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33.4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33.3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22.2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44.5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hrp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44.3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25.6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0.1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44.4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inverse-variance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44.2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25.6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0.2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44.4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mean-downside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31.7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32.5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10.1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25.7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41.8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adversarial-diversifier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26.5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28.5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41.5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min-correlation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33.9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32.5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3.6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37.5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volatility-targeting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33.2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32.5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37.4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inverse-volatility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33.2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32.5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37.4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risk-parity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31.1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33.3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5.6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36.7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robust-mv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22.2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39.0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8.8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31.0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max-diversification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23.8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41.2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28.8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resampled-ef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23.0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44.8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25.2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max-sharpe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22.9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45.3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1.8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24.7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gmv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22.8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46.4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0.8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23.6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tpa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22.0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48.0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22.0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max-dd-constrained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50.0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30.0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20"/>
              </w:rPr>
              <w:t>20.0</w:t>
            </w:r>
          </w:p>
        </w:tc>
      </w:tr>
    </w:tbl>
    <w:p/>
    <w:p>
      <w:r>
        <w:rPr>
          <w:b/>
          <w:color w:val="595959"/>
          <w:sz w:val="24"/>
        </w:rPr>
        <w:t>관전 포인트</w:t>
      </w:r>
    </w:p>
    <w:p>
      <w:pPr>
        <w:pStyle w:val="ListBullet"/>
      </w:pPr>
      <w:r>
        <w:rPr>
          <w:b w:val="0"/>
          <w:sz w:val="22"/>
        </w:rPr>
        <w:t>가장 공격적: market-cap-weight 54.8% / equal-weight·black-litterman·cvar-min·max-entropy 50%. 모두 IPS Equity 한도 55% 직전.</w:t>
      </w:r>
    </w:p>
    <w:p>
      <w:pPr>
        <w:pStyle w:val="ListBullet"/>
      </w:pPr>
      <w:r>
        <w:rPr>
          <w:b w:val="0"/>
          <w:sz w:val="22"/>
        </w:rPr>
        <w:t>가장 방어적: max-dd-constrained 20% / tpa 22% / gmv 23.6% / max-sharpe 24.7%. 위험자산을 IPS 하한 (Equity 20%)까지 줄임.</w:t>
      </w:r>
    </w:p>
    <w:p>
      <w:pPr>
        <w:pStyle w:val="ListBullet"/>
      </w:pPr>
      <w:r>
        <w:rPr>
          <w:b w:val="0"/>
          <w:sz w:val="22"/>
        </w:rPr>
        <w:t>분포 중앙: 21개 평균 ≈ 38%. 70% 한도 대비 매우 보수적 — 현 매크로(late-cycle, AA스프레드 65bp)에서 방어적 합의가 형성됨.</w:t>
      </w:r>
    </w:p>
    <w:p/>
    <w:p>
      <w:r>
        <w:rPr>
          <w:b/>
          <w:color w:val="1F4E79"/>
          <w:sz w:val="30"/>
        </w:rPr>
        <w:t>4. 21개 모델 합의 — ETF별 평균 비중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25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ETF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21모델 평균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CIO 최종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차이(pp)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152380 KODEX 국고채10년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14.35%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14.12%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-0.23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423160 KODEX KOFR금리액티브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14.25%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14.26%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+0.01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305080 TIGER 미국채10년선물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12.98%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11.75%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-1.23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357870 TIGER 머니마켓액티브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12.50%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13.48%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+0.98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069500 KODEX 200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8.50%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8.28%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-0.22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360750 TIGER 미국S&amp;P500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8.46%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8.45%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-0.01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211900 KODEX 배당성장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8.22%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8.45%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+0.23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332620 TIGER 미국투자등급회사채액티브(H)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8.03%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8.43%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+0.40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133690 TIGER 미국나스닥100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7.24%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7.45%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+0.21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b w:val="0"/>
                <w:sz w:val="20"/>
              </w:rPr>
              <w:t>132030 KODEX 골드선물(H)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5.48%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5.34%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20"/>
              </w:rPr>
              <w:t>-0.14</w:t>
            </w:r>
          </w:p>
        </w:tc>
      </w:tr>
    </w:tbl>
    <w:p/>
    <w:p>
      <w:r>
        <w:rPr>
          <w:b w:val="0"/>
          <w:sz w:val="22"/>
        </w:rPr>
        <w:t>→ CIO inverse_te ensemble 결과가 21모델 평균과 모든 ETF에서 1pp 이내로 거의 일치. 즉 현재 매크로·CMA 환경에서는 어떤 PC 방법론을 써도 결론이 같다는 뜻으로, 결과의 강건성이 높다고 해석할 수 있습니다.</w:t>
      </w:r>
    </w:p>
    <w:p/>
    <w:p>
      <w:r>
        <w:rPr>
          <w:b/>
          <w:color w:val="1F4E79"/>
          <w:sz w:val="30"/>
        </w:rPr>
        <w:t>5. 위험 점검 + IPS 컴플라이언스</w:t>
      </w:r>
    </w:p>
    <w:p>
      <w:r>
        <w:rPr>
          <w:b/>
          <w:color w:val="595959"/>
          <w:sz w:val="24"/>
        </w:rPr>
        <w:t>통과</w:t>
      </w:r>
    </w:p>
    <w:p>
      <w:pPr>
        <w:pStyle w:val="ListBullet"/>
      </w:pPr>
      <w:r>
        <w:rPr>
          <w:b w:val="0"/>
          <w:sz w:val="22"/>
        </w:rPr>
        <w:t>DC/IRP 70% 위험자산 한도 — 38% (32%p 여유) ✅</w:t>
      </w:r>
    </w:p>
    <w:p>
      <w:pPr>
        <w:pStyle w:val="ListBullet"/>
      </w:pPr>
      <w:r>
        <w:rPr>
          <w:b w:val="0"/>
          <w:sz w:val="22"/>
        </w:rPr>
        <w:t>카테고리 bounds 모두 충족 (Equity 20-55%, FI 20-70%, RealAsset ≤15%, Cash ≤30%) ✅</w:t>
      </w:r>
    </w:p>
    <w:p>
      <w:pPr>
        <w:pStyle w:val="ListBullet"/>
      </w:pPr>
      <w:r>
        <w:rPr>
          <w:b w:val="0"/>
          <w:sz w:val="22"/>
        </w:rPr>
        <w:t>종목 ≤25% — 최대 비중 KOFR-cash 14.3% ✅</w:t>
      </w:r>
    </w:p>
    <w:p>
      <w:r>
        <w:rPr>
          <w:b/>
          <w:color w:val="595959"/>
          <w:sz w:val="24"/>
        </w:rPr>
        <w:t>주의</w:t>
      </w:r>
    </w:p>
    <w:p>
      <w:pPr>
        <w:pStyle w:val="ListBullet"/>
      </w:pPr>
      <w:r>
        <w:rPr>
          <w:b w:val="0"/>
          <w:sz w:val="22"/>
        </w:rPr>
        <w:t>기대 변동성 σ 5.13% &lt; IPS 하한 6% — 포트폴리오가 너무 보수적으로 빌드됨. 객관적 위험 부족이 아니라 수익 기회 회수 부족 의미. 콘셉트상 의도된 결과.</w:t>
      </w:r>
    </w:p>
    <w:p>
      <w:pPr>
        <w:pStyle w:val="ListBullet"/>
      </w:pPr>
      <w:r>
        <w:rPr>
          <w:b w:val="0"/>
          <w:sz w:val="22"/>
        </w:rPr>
        <w:t>Tracking Error 8.41% &gt; IPS budget 6% — 한국 60/40 BM이 KOSPI200 60% + KTB10Y 40%로 너무 집중적이라 BM과 자연스럽게 멀어짐. 글로벌 60/40으로 BM 재정의 시 해소 가능.</w:t>
      </w:r>
    </w:p>
    <w:p>
      <w:r>
        <w:rPr>
          <w:b/>
          <w:color w:val="595959"/>
          <w:sz w:val="24"/>
        </w:rPr>
        <w:t>스트레스 시나리오</w:t>
      </w:r>
    </w:p>
    <w:p>
      <w:pPr>
        <w:pStyle w:val="ListBullet"/>
      </w:pPr>
      <w:r>
        <w:rPr>
          <w:b w:val="0"/>
          <w:sz w:val="22"/>
        </w:rPr>
        <w:t>유가 추가 충격 (Brent → $130+) — RealAsset(Gold) 5% + US IG Credit 8%로 헷지. Cash 28%는 dry powder.</w:t>
      </w:r>
    </w:p>
    <w:p>
      <w:pPr>
        <w:pStyle w:val="ListBullet"/>
      </w:pPr>
      <w:r>
        <w:rPr>
          <w:b w:val="0"/>
          <w:sz w:val="22"/>
        </w:rPr>
        <w:t>BOK 추가 인하 (2.50% → 2.00%) — KR 10Y 14%, US 10Y 12%로 듀레이션 노출. 평가이익 +1.5~2% 예상.</w:t>
      </w:r>
    </w:p>
    <w:p>
      <w:pPr>
        <w:pStyle w:val="ListBullet"/>
      </w:pPr>
      <w:r>
        <w:rPr>
          <w:b w:val="0"/>
          <w:sz w:val="22"/>
        </w:rPr>
        <w:t>원/달러 충격 (1485 → 1550+) — US Equity 16% 환노출분에서 원화환산 +5~7% 가능. 다만 매크로 헷지 자산 (Gold, KRW IG는 헷지)이 동시에 작동.</w:t>
      </w:r>
    </w:p>
    <w:p/>
    <w:p>
      <w:r>
        <w:rPr>
          <w:b/>
          <w:color w:val="1F4E79"/>
          <w:sz w:val="30"/>
        </w:rPr>
        <w:t>6. 재조정 규칙 + 다음 분기 점검사항</w:t>
      </w:r>
    </w:p>
    <w:p>
      <w:r>
        <w:rPr>
          <w:b/>
          <w:color w:val="595959"/>
          <w:sz w:val="24"/>
        </w:rPr>
        <w:t>리밸런싱</w:t>
      </w:r>
    </w:p>
    <w:p>
      <w:pPr>
        <w:pStyle w:val="ListBullet"/>
      </w:pPr>
      <w:r>
        <w:rPr>
          <w:b w:val="0"/>
          <w:sz w:val="22"/>
        </w:rPr>
        <w:t>주기: **분기**. 다음 정기 리밸런싱: 2026-08-01 분기 시작.</w:t>
      </w:r>
    </w:p>
    <w:p>
      <w:pPr>
        <w:pStyle w:val="ListBullet"/>
      </w:pPr>
      <w:r>
        <w:rPr>
          <w:b w:val="0"/>
          <w:sz w:val="22"/>
        </w:rPr>
        <w:t>이탈 트리거: 자산군 비중이 목표 대비 ±5%p 이상 벗어나면 분기 외 재조정.</w:t>
      </w:r>
    </w:p>
    <w:p>
      <w:r>
        <w:rPr>
          <w:b/>
          <w:color w:val="595959"/>
          <w:sz w:val="24"/>
        </w:rPr>
        <w:t>다음 점검 포인트 (다음 달 영상에서 확인)</w:t>
      </w:r>
    </w:p>
    <w:p>
      <w:pPr>
        <w:pStyle w:val="ListBullet"/>
      </w:pPr>
      <w:r>
        <w:rPr>
          <w:b w:val="0"/>
          <w:sz w:val="22"/>
        </w:rPr>
        <w:t>BOK 5월 금통위 — 추가 인하 시 KR 듀레이션 비중 점검.</w:t>
      </w:r>
    </w:p>
    <w:p>
      <w:pPr>
        <w:pStyle w:val="ListBullet"/>
      </w:pPr>
      <w:r>
        <w:rPr>
          <w:b w:val="0"/>
          <w:sz w:val="22"/>
        </w:rPr>
        <w:t>유가 — Brent $120 돌파 시 stagflation regime으로 전환 가능성.</w:t>
      </w:r>
    </w:p>
    <w:p>
      <w:pPr>
        <w:pStyle w:val="ListBullet"/>
      </w:pPr>
      <w:r>
        <w:rPr>
          <w:b w:val="0"/>
          <w:sz w:val="22"/>
        </w:rPr>
        <w:t>USD/KRW — 1500 또는 1450 돌파 시 IPS escalation 트리거.</w:t>
      </w:r>
    </w:p>
    <w:p>
      <w:pPr>
        <w:pStyle w:val="ListBullet"/>
      </w:pPr>
      <w:r>
        <w:rPr>
          <w:b w:val="0"/>
          <w:sz w:val="22"/>
        </w:rPr>
        <w:t>VIX — 25 돌파 시 위험자산 추가 축소 검토.</w:t>
      </w:r>
    </w:p>
    <w:p>
      <w:r>
        <w:br w:type="page"/>
      </w:r>
    </w:p>
    <w:p>
      <w:r>
        <w:rPr>
          <w:b/>
          <w:color w:val="1F4E79"/>
          <w:sz w:val="30"/>
        </w:rPr>
        <w:t>부록 A. 21개 모델 × 10 ETF 전체 비중 (%)</w:t>
      </w:r>
    </w:p>
    <w:p>
      <w:r>
        <w:rPr>
          <w:b w:val="0"/>
          <w:color w:val="595959"/>
          <w:sz w:val="20"/>
        </w:rPr>
        <w:t>행 = ETF, 열 = PC 모델. 비중 단위는 %. 0.5% 미만은 공란 처리.</w:t>
      </w:r>
    </w:p>
    <w:p>
      <w:r>
        <w:rPr>
          <w:b/>
          <w:color w:val="595959"/>
          <w:sz w:val="24"/>
        </w:rPr>
        <w:t>A.1 모델 1–6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ETF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equal-weight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market-cap-weight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inverse-volatility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inverse-variance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volatility-targeting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max-sharpe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069500 KODEX 200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5.2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211900 KODEX 배당성장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360750 TIGER 미국S&amp;P500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6.8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133690 TIGER 미국나스닥100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152380 KODEX 국고채10년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14.3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14.3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25.0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305080 TIGER 미국채10년선물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16.1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332620 TIGER 미국투자등급회사채액티브(H)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4.2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132030 KODEX 골드선물(H)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1.8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423160 KODEX KOFR금리액티브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18.7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357870 TIGER 머니마켓액티브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</w:tr>
    </w:tbl>
    <w:p/>
    <w:p>
      <w:r>
        <w:rPr>
          <w:b/>
          <w:color w:val="595959"/>
          <w:sz w:val="24"/>
        </w:rPr>
        <w:t>A.2 모델 7–12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ETF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black-litterman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robust-mv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resampled-ef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mean-downside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gmv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risk-parity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069500 KODEX 200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10.6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6.2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5.5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4.6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211900 KODEX 배당성장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6.4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6.6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360750 TIGER 미국S&amp;P500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6.7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10.9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133690 TIGER 미국나스닥100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152380 KODEX 국고채10년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13.8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24.5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11.6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19.7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305080 TIGER 미국채10년선물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11.6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14.0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15.9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17.2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332620 TIGER 미국투자등급회사채액티브(H)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12.0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11.3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4.4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9.5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13.7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132030 KODEX 골드선물(H)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9.7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2.2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10.1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0.8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5.6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423160 KODEX KOFR금리액티브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7.3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15.2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12.8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357870 TIGER 머니마켓액티브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8.3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14.8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12.8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</w:tr>
    </w:tbl>
    <w:p/>
    <w:p>
      <w:r>
        <w:rPr>
          <w:b/>
          <w:color w:val="595959"/>
          <w:sz w:val="24"/>
        </w:rPr>
        <w:t>A.3 모델 13–18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ETF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hrp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max-diversification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min-correlation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cvar-min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max-dd-constrained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069500 KODEX 200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5.1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7.7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18.5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211900 KODEX 배당성장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7.2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8.3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0.5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360750 TIGER 미국S&amp;P500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6.4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9.4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0.5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133690 TIGER 미국나스닥100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11.0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5.0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8.4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0.5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152380 KODEX 국고채10년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9.3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15.6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10.1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25.0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305080 TIGER 미국채10년선물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8.3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18.2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14.3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25.0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332620 TIGER 미국투자등급회사채액티브(H)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8.0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7.4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8.1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132030 KODEX 골드선물(H)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5.0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3.6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423160 KODEX KOFR금리액티브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18.6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24.7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357870 TIGER 머니마켓액티브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11.4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b w:val="0"/>
                <w:sz w:val="20"/>
              </w:rPr>
              <w:t>5.3</w:t>
            </w:r>
          </w:p>
        </w:tc>
      </w:tr>
    </w:tbl>
    <w:p/>
    <w:p>
      <w:r>
        <w:rPr>
          <w:b/>
          <w:color w:val="595959"/>
          <w:sz w:val="24"/>
        </w:rPr>
        <w:t>A.4 모델 19–21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ETF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tail-risk-parity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tpa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adversarial-diversifier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max-entropy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069500 KODEX 200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6.0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6.6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211900 KODEX 배당성장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7.2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6.6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360750 TIGER 미국S&amp;P500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3.8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6.6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133690 TIGER 미국나스닥100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4.9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6.6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152380 KODEX 국고채10년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20.7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2.3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305080 TIGER 미국채10년선물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17.1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25.0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332620 TIGER 미국투자등급회사채액티브(H)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1.2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132030 KODEX 골드선물(H)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423160 KODEX KOFR금리액티브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16.8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357870 TIGER 머니마켓액티브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15.0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13.2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b w:val="0"/>
                <w:sz w:val="20"/>
              </w:rPr>
              <w:t>10.0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30"/>
        </w:rPr>
        <w:t>면책 고지</w:t>
      </w:r>
    </w:p>
    <w:p>
      <w:r>
        <w:rPr>
          <w:b w:val="0"/>
          <w:i/>
          <w:color w:val="595959"/>
          <w:sz w:val="18"/>
        </w:rPr>
        <w:t>본 보고서는 자율주행 SAA 파이프라인이 산출한 정보를 기반으로 작성된 정보 제공 자료입니다. 특정 금융상품의 매수·매도 권유가 아니며, 투자자문업·투자일임업·투자권유 행위가 아닙니다. 백테스트 결과는 가상의 가정에 기반하며 미래 성과를 보장하지 않습니다. DC/IRP 규제(위험자산 70% 한도, 레버리지·인버스 ETF 매수 금지)를 가정한 IPS 하에서 산출된 결과입니다. 실제 투자 결정 전 본인의 투자목적·위험감수도·재무상황을 종합 검토하시기 바랍니다.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