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60"/>
        <w:jc w:val="center"/>
      </w:pPr>
      <w:r>
        <w:rPr>
          <w:b/>
          <w:bCs/>
          <w:color w:val="1F3A5F"/>
          <w:sz w:val="36"/>
          <w:szCs w:val="36"/>
        </w:rPr>
        <w:t xml:space="preserve">EDGE3 ATHLETE INTELLIGENCE</w:t>
      </w:r>
    </w:p>
    <w:p>
      <w:pPr>
        <w:spacing w:after="20" w:before="0"/>
        <w:jc w:val="center"/>
      </w:pPr>
      <w:r>
        <w:rPr>
          <w:color w:val="1F3A5F"/>
          <w:sz w:val="26"/>
          <w:szCs w:val="26"/>
        </w:rPr>
        <w:t xml:space="preserve">What Makes Our Platform Different</w:t>
      </w:r>
    </w:p>
    <w:p>
      <w:pPr>
        <w:spacing w:after="20" w:before="0"/>
        <w:jc w:val="center"/>
      </w:pPr>
      <w:r>
        <w:rPr>
          <w:i/>
          <w:iCs/>
          <w:color w:val="666666"/>
          <w:sz w:val="22"/>
          <w:szCs w:val="22"/>
        </w:rPr>
        <w:t xml:space="preserve">Transfer Risk  ·  Performance Trajectory  ·  Combined Risk/Fit Signal</w:t>
      </w:r>
    </w:p>
    <w:p>
      <w:pPr>
        <w:spacing w:after="20" w:before="0"/>
        <w:jc w:val="center"/>
      </w:pPr>
      <w:r>
        <w:rPr>
          <w:color w:val="666666"/>
          <w:sz w:val="22"/>
          <w:szCs w:val="22"/>
        </w:rPr>
        <w:t xml:space="preserve">Football (NCAA FBS) + Basketball (NCAA D1)</w:t>
      </w:r>
    </w:p>
    <w:p>
      <w:pPr>
        <w:spacing w:after="180" w:before="0"/>
        <w:jc w:val="center"/>
      </w:pPr>
      <w:r>
        <w:rPr>
          <w:color w:val="666666"/>
          <w:sz w:val="20"/>
          <w:szCs w:val="20"/>
        </w:rPr>
        <w:t xml:space="preserve">April 2026  ·  Phase 1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rPr>
        <w:tc>
          <w:tcPr>
            <w:tcW w:type="dxa" w:w="1872"/>
            <w:tcBorders>
              <w:top w:val="single" w:color="CCCCCC" w:sz="1"/>
              <w:left w:val="single" w:color="CCCCCC" w:sz="1"/>
              <w:bottom w:val="single" w:color="CCCCCC" w:sz="1"/>
              <w:right w:val="single" w:color="CCCCCC" w:sz="1"/>
            </w:tcBorders>
            <w:shd w:fill="F1F4F9" w:val="clear"/>
            <w:tcMar>
              <w:top w:type="dxa" w:w="80"/>
              <w:left w:type="dxa" w:w="120"/>
              <w:bottom w:type="dxa" w:w="80"/>
              <w:right w:type="dxa" w:w="120"/>
            </w:tcMar>
          </w:tcPr>
          <w:p>
            <w:pPr>
              <w:spacing w:after="0" w:before="40"/>
              <w:jc w:val="center"/>
            </w:pPr>
            <w:r>
              <w:rPr>
                <w:b/>
                <w:bCs/>
                <w:color w:val="1F3A5F"/>
                <w:sz w:val="16"/>
                <w:szCs w:val="16"/>
              </w:rPr>
              <w:t xml:space="preserve">FB TRANSFER</w:t>
            </w:r>
          </w:p>
          <w:p>
            <w:pPr>
              <w:spacing w:after="40" w:before="40"/>
              <w:jc w:val="center"/>
            </w:pPr>
            <w:r>
              <w:rPr>
                <w:b/>
                <w:bCs/>
                <w:color w:val="1F3A5F"/>
                <w:sz w:val="34"/>
                <w:szCs w:val="34"/>
              </w:rPr>
              <w:t xml:space="preserve">0.718</w:t>
            </w:r>
          </w:p>
          <w:p>
            <w:pPr>
              <w:spacing w:after="40" w:before="0"/>
              <w:jc w:val="center"/>
            </w:pPr>
            <w:r>
              <w:rPr>
                <w:color w:val="666666"/>
                <w:sz w:val="16"/>
                <w:szCs w:val="16"/>
              </w:rPr>
              <w:t xml:space="preserve">Risk AUC (v8)</w:t>
            </w:r>
          </w:p>
        </w:tc>
        <w:tc>
          <w:tcPr>
            <w:tcW w:type="dxa" w:w="1872"/>
            <w:tcBorders>
              <w:top w:val="single" w:color="CCCCCC" w:sz="1"/>
              <w:left w:val="single" w:color="CCCCCC" w:sz="1"/>
              <w:bottom w:val="single" w:color="CCCCCC" w:sz="1"/>
              <w:right w:val="single" w:color="CCCCCC" w:sz="1"/>
            </w:tcBorders>
            <w:shd w:fill="F1F4F9" w:val="clear"/>
            <w:tcMar>
              <w:top w:type="dxa" w:w="80"/>
              <w:left w:type="dxa" w:w="120"/>
              <w:bottom w:type="dxa" w:w="80"/>
              <w:right w:type="dxa" w:w="120"/>
            </w:tcMar>
          </w:tcPr>
          <w:p>
            <w:pPr>
              <w:spacing w:after="0" w:before="40"/>
              <w:jc w:val="center"/>
            </w:pPr>
            <w:r>
              <w:rPr>
                <w:b/>
                <w:bCs/>
                <w:color w:val="1F3A5F"/>
                <w:sz w:val="16"/>
                <w:szCs w:val="16"/>
              </w:rPr>
              <w:t xml:space="preserve">BB TRANSFER</w:t>
            </w:r>
          </w:p>
          <w:p>
            <w:pPr>
              <w:spacing w:after="40" w:before="40"/>
              <w:jc w:val="center"/>
            </w:pPr>
            <w:r>
              <w:rPr>
                <w:b/>
                <w:bCs/>
                <w:color w:val="1F3A5F"/>
                <w:sz w:val="34"/>
                <w:szCs w:val="34"/>
              </w:rPr>
              <w:t xml:space="preserve">0.778</w:t>
            </w:r>
          </w:p>
          <w:p>
            <w:pPr>
              <w:spacing w:after="40" w:before="0"/>
              <w:jc w:val="center"/>
            </w:pPr>
            <w:r>
              <w:rPr>
                <w:color w:val="666666"/>
                <w:sz w:val="16"/>
                <w:szCs w:val="16"/>
              </w:rPr>
              <w:t xml:space="preserve">Risk AUC (v3)</w:t>
            </w:r>
          </w:p>
        </w:tc>
        <w:tc>
          <w:tcPr>
            <w:tcW w:type="dxa" w:w="1872"/>
            <w:tcBorders>
              <w:top w:val="single" w:color="CCCCCC" w:sz="1"/>
              <w:left w:val="single" w:color="CCCCCC" w:sz="1"/>
              <w:bottom w:val="single" w:color="CCCCCC" w:sz="1"/>
              <w:right w:val="single" w:color="CCCCCC" w:sz="1"/>
            </w:tcBorders>
            <w:shd w:fill="F1F4F9" w:val="clear"/>
            <w:tcMar>
              <w:top w:type="dxa" w:w="80"/>
              <w:left w:type="dxa" w:w="120"/>
              <w:bottom w:type="dxa" w:w="80"/>
              <w:right w:type="dxa" w:w="120"/>
            </w:tcMar>
          </w:tcPr>
          <w:p>
            <w:pPr>
              <w:spacing w:after="0" w:before="40"/>
              <w:jc w:val="center"/>
            </w:pPr>
            <w:r>
              <w:rPr>
                <w:b/>
                <w:bCs/>
                <w:color w:val="1F3A5F"/>
                <w:sz w:val="16"/>
                <w:szCs w:val="16"/>
              </w:rPr>
              <w:t xml:space="preserve">FB TRAJECTORY</w:t>
            </w:r>
          </w:p>
          <w:p>
            <w:pPr>
              <w:spacing w:after="40" w:before="40"/>
              <w:jc w:val="center"/>
            </w:pPr>
            <w:r>
              <w:rPr>
                <w:b/>
                <w:bCs/>
                <w:color w:val="1F3A5F"/>
                <w:sz w:val="34"/>
                <w:szCs w:val="34"/>
              </w:rPr>
              <w:t xml:space="preserve">0.806</w:t>
            </w:r>
          </w:p>
          <w:p>
            <w:pPr>
              <w:spacing w:after="40" w:before="0"/>
              <w:jc w:val="center"/>
            </w:pPr>
            <w:r>
              <w:rPr>
                <w:color w:val="666666"/>
                <w:sz w:val="16"/>
                <w:szCs w:val="16"/>
              </w:rPr>
              <w:t xml:space="preserve">Perf. AUC (v1)</w:t>
            </w:r>
          </w:p>
        </w:tc>
        <w:tc>
          <w:tcPr>
            <w:tcW w:type="dxa" w:w="1872"/>
            <w:tcBorders>
              <w:top w:val="single" w:color="CCCCCC" w:sz="1"/>
              <w:left w:val="single" w:color="CCCCCC" w:sz="1"/>
              <w:bottom w:val="single" w:color="CCCCCC" w:sz="1"/>
              <w:right w:val="single" w:color="CCCCCC" w:sz="1"/>
            </w:tcBorders>
            <w:shd w:fill="F1F4F9" w:val="clear"/>
            <w:tcMar>
              <w:top w:type="dxa" w:w="80"/>
              <w:left w:type="dxa" w:w="120"/>
              <w:bottom w:type="dxa" w:w="80"/>
              <w:right w:type="dxa" w:w="120"/>
            </w:tcMar>
          </w:tcPr>
          <w:p>
            <w:pPr>
              <w:spacing w:after="0" w:before="40"/>
              <w:jc w:val="center"/>
            </w:pPr>
            <w:r>
              <w:rPr>
                <w:b/>
                <w:bCs/>
                <w:color w:val="1F3A5F"/>
                <w:sz w:val="16"/>
                <w:szCs w:val="16"/>
              </w:rPr>
              <w:t xml:space="preserve">BB TRAJECTORY</w:t>
            </w:r>
          </w:p>
          <w:p>
            <w:pPr>
              <w:spacing w:after="40" w:before="40"/>
              <w:jc w:val="center"/>
            </w:pPr>
            <w:r>
              <w:rPr>
                <w:b/>
                <w:bCs/>
                <w:color w:val="1F3A5F"/>
                <w:sz w:val="34"/>
                <w:szCs w:val="34"/>
              </w:rPr>
              <w:t xml:space="preserve">0.739</w:t>
            </w:r>
          </w:p>
          <w:p>
            <w:pPr>
              <w:spacing w:after="40" w:before="0"/>
              <w:jc w:val="center"/>
            </w:pPr>
            <w:r>
              <w:rPr>
                <w:color w:val="666666"/>
                <w:sz w:val="16"/>
                <w:szCs w:val="16"/>
              </w:rPr>
              <w:t xml:space="preserve">Perf. AUC (v1)</w:t>
            </w:r>
          </w:p>
        </w:tc>
        <w:tc>
          <w:tcPr>
            <w:tcW w:type="dxa" w:w="1872"/>
            <w:tcBorders>
              <w:top w:val="single" w:color="CCCCCC" w:sz="1"/>
              <w:left w:val="single" w:color="CCCCCC" w:sz="1"/>
              <w:bottom w:val="single" w:color="CCCCCC" w:sz="1"/>
              <w:right w:val="single" w:color="CCCCCC" w:sz="1"/>
            </w:tcBorders>
            <w:shd w:fill="F1F4F9" w:val="clear"/>
            <w:tcMar>
              <w:top w:type="dxa" w:w="80"/>
              <w:left w:type="dxa" w:w="120"/>
              <w:bottom w:type="dxa" w:w="80"/>
              <w:right w:type="dxa" w:w="120"/>
            </w:tcMar>
          </w:tcPr>
          <w:p>
            <w:pPr>
              <w:spacing w:after="0" w:before="40"/>
              <w:jc w:val="center"/>
            </w:pPr>
            <w:r>
              <w:rPr>
                <w:b/>
                <w:bCs/>
                <w:color w:val="1F3A5F"/>
                <w:sz w:val="16"/>
                <w:szCs w:val="16"/>
              </w:rPr>
              <w:t xml:space="preserve">SCORED 2025–26</w:t>
            </w:r>
          </w:p>
          <w:p>
            <w:pPr>
              <w:spacing w:after="40" w:before="40"/>
              <w:jc w:val="center"/>
            </w:pPr>
            <w:r>
              <w:rPr>
                <w:b/>
                <w:bCs/>
                <w:color w:val="1F3A5F"/>
                <w:sz w:val="34"/>
                <w:szCs w:val="34"/>
              </w:rPr>
              <w:t xml:space="preserve">12,292</w:t>
            </w:r>
          </w:p>
          <w:p>
            <w:pPr>
              <w:spacing w:after="40" w:before="0"/>
              <w:jc w:val="center"/>
            </w:pPr>
            <w:r>
              <w:rPr>
                <w:color w:val="666666"/>
                <w:sz w:val="16"/>
                <w:szCs w:val="16"/>
              </w:rPr>
              <w:t xml:space="preserve">499 D1 programs</w:t>
            </w:r>
          </w:p>
        </w:tc>
      </w:tr>
    </w:tbl>
    <w:p>
      <w:pPr>
        <w:spacing w:after="0" w:before="120"/>
      </w:pPr>
      <w:r>
        <w:t xml:space="preserve"/>
      </w:r>
    </w:p>
    <w:p>
      <w:pPr>
        <w:pStyle w:val="Heading1"/>
        <w:spacing w:after="140" w:before="220"/>
      </w:pPr>
      <w:r>
        <w:rPr>
          <w:b/>
          <w:bCs/>
          <w:color w:val="1F3A5F"/>
          <w:sz w:val="30"/>
          <w:szCs w:val="30"/>
        </w:rPr>
        <w:t xml:space="preserve">The Core Difference</w:t>
      </w:r>
    </w:p>
    <w:p>
      <w:pPr>
        <w:spacing w:after="80" w:before="40"/>
        <w:jc w:val="left"/>
      </w:pPr>
      <w:r>
        <w:t xml:space="preserve">Every transfer portal tracker on the market today tells coaches the same thing: who already entered the portal. That information is reactive. By the time a player’s name appears on a tracker, it’s already too late for their current staff to intervene.</w:t>
      </w:r>
    </w:p>
    <w:p>
      <w:pPr>
        <w:spacing w:after="80" w:before="40"/>
        <w:jc w:val="left"/>
      </w:pPr>
      <w:r>
        <w:rPr>
          <w:b/>
          <w:bCs/>
        </w:rPr>
        <w:t xml:space="preserve">EDGE3 is different. </w:t>
      </w:r>
      <w:r>
        <w:t xml:space="preserve">We don’t just predict </w:t>
      </w:r>
      <w:r>
        <w:rPr>
          <w:i/>
          <w:iCs/>
        </w:rPr>
        <w:t xml:space="preserve">who might leave</w:t>
      </w:r>
      <w:r>
        <w:t xml:space="preserve"> — we also predict </w:t>
      </w:r>
      <w:r>
        <w:rPr>
          <w:i/>
          <w:iCs/>
        </w:rPr>
        <w:t xml:space="preserve">how each player is developing</w:t>
      </w:r>
      <w:r>
        <w:t xml:space="preserve">. That gives coaches two windows: intervene before a transfer happens, and adjust development plans before performance stalls.</w:t>
      </w:r>
    </w:p>
    <w:p>
      <w:pPr>
        <w:spacing w:after="80" w:before="40"/>
        <w:jc w:val="left"/>
      </w:pPr>
      <w:r>
        <w:t xml:space="preserve">We do this through three integrated models that no one else has built together:</w:t>
      </w:r>
    </w:p>
    <w:p>
      <w:pPr>
        <w:pStyle w:val="ListParagraph"/>
        <w:numPr>
          <w:ilvl w:val="0"/>
          <w:numId w:val="2"/>
        </w:numPr>
        <w:spacing w:after="20" w:before="20"/>
      </w:pPr>
      <w:r>
        <w:t xml:space="preserve">Transfer Risk Model — predicts which players are likely to enter the portal before they announce.</w:t>
      </w:r>
    </w:p>
    <w:p>
      <w:pPr>
        <w:pStyle w:val="ListParagraph"/>
        <w:numPr>
          <w:ilvl w:val="0"/>
          <w:numId w:val="2"/>
        </w:numPr>
        <w:spacing w:after="20" w:before="20"/>
      </w:pPr>
      <w:r>
        <w:t xml:space="preserve">Performance Trajectory Model — predicts whether a player’s on-field / on-court performance will improve, hold steady, or decline next season.</w:t>
      </w:r>
    </w:p>
    <w:p>
      <w:pPr>
        <w:pStyle w:val="ListParagraph"/>
        <w:numPr>
          <w:ilvl w:val="0"/>
          <w:numId w:val="2"/>
        </w:numPr>
        <w:spacing w:after="20" w:before="20"/>
      </w:pPr>
      <w:r>
        <w:t xml:space="preserve">Combined Risk/Fit Signal — merges both into a single Red/Yellow/Green flag coaches and athletes can act on in their next staff meeting.</w:t>
      </w:r>
    </w:p>
    <w:p>
      <w:pPr>
        <w:spacing w:after="80" w:before="40"/>
        <w:jc w:val="left"/>
      </w:pPr>
      <w:r>
        <w:t xml:space="preserve">Each model is already structured to incorporate two future data layers — smart dynamic surveys and social listening — that will fine-tune predictions with direct player feedback and real-time sentiment analysis. The placeholder columns are already live in the pipeline.</w:t>
      </w:r>
    </w:p>
    <w:p>
      <w:pPr>
        <w:pStyle w:val="Heading1"/>
        <w:spacing w:after="140" w:before="220"/>
      </w:pPr>
      <w:r>
        <w:rPr>
          <w:b/>
          <w:bCs/>
          <w:color w:val="1F3A5F"/>
          <w:sz w:val="30"/>
          <w:szCs w:val="30"/>
        </w:rPr>
        <w:t xml:space="preserve">Two Models, One Score</w:t>
      </w:r>
    </w:p>
    <w:p>
      <w:pPr>
        <w:pStyle w:val="Heading2"/>
        <w:spacing w:after="80" w:before="180"/>
      </w:pPr>
      <w:r>
        <w:rPr>
          <w:b/>
          <w:bCs/>
          <w:color w:val="1F3A5F"/>
          <w:sz w:val="24"/>
          <w:szCs w:val="24"/>
        </w:rPr>
        <w:t xml:space="preserve">How They Work Together</w:t>
      </w:r>
    </w:p>
    <w:p>
      <w:pPr>
        <w:spacing w:after="80" w:before="40"/>
        <w:jc w:val="left"/>
      </w:pPr>
      <w:r>
        <w:t xml:space="preserve">Transfer risk tells you </w:t>
      </w:r>
      <w:r>
        <w:rPr>
          <w:b/>
          <w:bCs/>
        </w:rPr>
        <w:t xml:space="preserve">who </w:t>
      </w:r>
      <w:r>
        <w:t xml:space="preserve">might leave. Performance trajectory tells you </w:t>
      </w:r>
      <w:r>
        <w:rPr>
          <w:b/>
          <w:bCs/>
        </w:rPr>
        <w:t xml:space="preserve">how </w:t>
      </w:r>
      <w:r>
        <w:t xml:space="preserve">they’re developing. The combined score tells you </w:t>
      </w:r>
      <w:r>
        <w:rPr>
          <w:b/>
          <w:bCs/>
        </w:rPr>
        <w:t xml:space="preserve">where </w:t>
      </w:r>
      <w:r>
        <w:t xml:space="preserve">the real alignment or friction is.</w:t>
      </w:r>
    </w:p>
    <w:p>
      <w:pPr>
        <w:spacing w:after="80" w:before="40"/>
        <w:jc w:val="left"/>
      </w:pPr>
      <w:r>
        <w:rPr>
          <w:b/>
          <w:bCs/>
        </w:rPr>
        <w:t xml:space="preserve">A player with low transfer risk but declining performance </w:t>
      </w:r>
      <w:r>
        <w:t xml:space="preserve">is a different conversation than one with </w:t>
      </w:r>
      <w:r>
        <w:rPr>
          <w:b/>
          <w:bCs/>
        </w:rPr>
        <w:t xml:space="preserve">high transfer risk but trending up</w:t>
      </w:r>
      <w:r>
        <w:t xml:space="preserve">. The first needs a development adjustment. The second needs a retention conversation. Without both models, you’re guessing which conversation to have.</w:t>
      </w:r>
    </w:p>
    <w:p>
      <w:pPr>
        <w:pStyle w:val="Heading2"/>
        <w:spacing w:after="80" w:before="180"/>
      </w:pPr>
      <w:r>
        <w:rPr>
          <w:b/>
          <w:bCs/>
          <w:color w:val="1F3A5F"/>
          <w:sz w:val="24"/>
          <w:szCs w:val="24"/>
        </w:rPr>
        <w:t xml:space="preserve">The Red / Yellow / Green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0"/>
        <w:gridCol w:w="4040"/>
        <w:gridCol w:w="4040"/>
      </w:tblGrid>
      <w:tr>
        <w:trPr>
          <w:cantSplit/>
          <w:tblHeader/>
        </w:trPr>
        <w:tc>
          <w:tcPr>
            <w:tcW w:type="dxa" w:w="1280"/>
            <w:tcBorders>
              <w:top w:val="single" w:color="CCCCCC" w:sz="1"/>
              <w:left w:val="single" w:color="CCCCCC" w:sz="1"/>
              <w:bottom w:val="single" w:color="CCCCCC" w:sz="1"/>
              <w:right w:val="single" w:color="CCCCCC" w:sz="1"/>
            </w:tcBorders>
            <w:shd w:fill="E4EAF2" w:val="clear"/>
            <w:tcMar>
              <w:top w:type="dxa" w:w="80"/>
              <w:left w:type="dxa" w:w="120"/>
              <w:bottom w:type="dxa" w:w="80"/>
              <w:right w:type="dxa" w:w="120"/>
            </w:tcMar>
          </w:tcPr>
          <w:p>
            <w:pPr>
              <w:jc w:val="center"/>
            </w:pPr>
            <w:r>
              <w:rPr>
                <w:b/>
                <w:bCs/>
                <w:sz w:val="20"/>
                <w:szCs w:val="20"/>
              </w:rPr>
              <w:t xml:space="preserve">Signal</w:t>
            </w:r>
          </w:p>
        </w:tc>
        <w:tc>
          <w:tcPr>
            <w:tcW w:type="dxa" w:w="4040"/>
            <w:tcBorders>
              <w:top w:val="single" w:color="CCCCCC" w:sz="1"/>
              <w:left w:val="single" w:color="CCCCCC" w:sz="1"/>
              <w:bottom w:val="single" w:color="CCCCCC" w:sz="1"/>
              <w:right w:val="single" w:color="CCCCCC" w:sz="1"/>
            </w:tcBorders>
            <w:shd w:fill="E4EAF2" w:val="clear"/>
            <w:tcMar>
              <w:top w:type="dxa" w:w="80"/>
              <w:left w:type="dxa" w:w="120"/>
              <w:bottom w:type="dxa" w:w="80"/>
              <w:right w:type="dxa" w:w="120"/>
            </w:tcMar>
          </w:tcPr>
          <w:p>
            <w:r>
              <w:rPr>
                <w:b/>
                <w:bCs/>
                <w:sz w:val="20"/>
                <w:szCs w:val="20"/>
              </w:rPr>
              <w:t xml:space="preserve">What It Means</w:t>
            </w:r>
          </w:p>
        </w:tc>
        <w:tc>
          <w:tcPr>
            <w:tcW w:type="dxa" w:w="4040"/>
            <w:tcBorders>
              <w:top w:val="single" w:color="CCCCCC" w:sz="1"/>
              <w:left w:val="single" w:color="CCCCCC" w:sz="1"/>
              <w:bottom w:val="single" w:color="CCCCCC" w:sz="1"/>
              <w:right w:val="single" w:color="CCCCCC" w:sz="1"/>
            </w:tcBorders>
            <w:shd w:fill="E4EAF2" w:val="clear"/>
            <w:tcMar>
              <w:top w:type="dxa" w:w="80"/>
              <w:left w:type="dxa" w:w="120"/>
              <w:bottom w:type="dxa" w:w="80"/>
              <w:right w:type="dxa" w:w="120"/>
            </w:tcMar>
          </w:tcPr>
          <w:p>
            <w:r>
              <w:rPr>
                <w:b/>
                <w:bCs/>
                <w:sz w:val="20"/>
                <w:szCs w:val="20"/>
              </w:rPr>
              <w:t xml:space="preserve">Coach Action</w:t>
            </w:r>
          </w:p>
        </w:tc>
      </w:tr>
      <w:tr>
        <w:trPr>
          <w:cantSplit/>
        </w:trPr>
        <w:tc>
          <w:tcPr>
            <w:tcW w:type="dxa" w:w="1280"/>
            <w:tcBorders>
              <w:top w:val="single" w:color="CCCCCC" w:sz="1"/>
              <w:left w:val="single" w:color="CCCCCC" w:sz="1"/>
              <w:bottom w:val="single" w:color="CCCCCC" w:sz="1"/>
              <w:right w:val="single" w:color="CCCCCC" w:sz="1"/>
            </w:tcBorders>
            <w:shd w:fill="B44C3C" w:val="clear"/>
            <w:tcMar>
              <w:top w:type="dxa" w:w="80"/>
              <w:left w:type="dxa" w:w="120"/>
              <w:bottom w:type="dxa" w:w="80"/>
              <w:right w:type="dxa" w:w="120"/>
            </w:tcMar>
          </w:tcPr>
          <w:p>
            <w:pPr>
              <w:jc w:val="center"/>
            </w:pPr>
            <w:r>
              <w:rPr>
                <w:b/>
                <w:bCs/>
                <w:color w:val="FFFFFF"/>
                <w:sz w:val="22"/>
                <w:szCs w:val="22"/>
              </w:rPr>
              <w:t xml:space="preserve">RED</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transfer risk + declining performance. This player is both likely to leave and not developing well in your system.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Immediate attention. Direct conversation about role, playing time, and development plan. Prepare contingency.</w:t>
            </w:r>
          </w:p>
        </w:tc>
      </w:tr>
      <w:tr>
        <w:trPr>
          <w:cantSplit/>
        </w:trPr>
        <w:tc>
          <w:tcPr>
            <w:tcW w:type="dxa" w:w="1280"/>
            <w:tcBorders>
              <w:top w:val="single" w:color="CCCCCC" w:sz="1"/>
              <w:left w:val="single" w:color="CCCCCC" w:sz="1"/>
              <w:bottom w:val="single" w:color="CCCCCC" w:sz="1"/>
              <w:right w:val="single" w:color="CCCCCC" w:sz="1"/>
            </w:tcBorders>
            <w:shd w:fill="C68A2E" w:val="clear"/>
            <w:tcMar>
              <w:top w:type="dxa" w:w="80"/>
              <w:left w:type="dxa" w:w="120"/>
              <w:bottom w:type="dxa" w:w="80"/>
              <w:right w:type="dxa" w:w="120"/>
            </w:tcMar>
          </w:tcPr>
          <w:p>
            <w:pPr>
              <w:jc w:val="center"/>
            </w:pPr>
            <w:r>
              <w:rPr>
                <w:b/>
                <w:bCs/>
                <w:color w:val="FFFFFF"/>
                <w:sz w:val="22"/>
                <w:szCs w:val="22"/>
              </w:rPr>
              <w:t xml:space="preserve">YELLOW</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Mixed signals. Moderate transfer risk with stable performance, or low risk with declining trajectory.</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Monitor closely. Check in proactively. May need role adjustment or extra support before it escalates.</w:t>
            </w:r>
          </w:p>
        </w:tc>
      </w:tr>
      <w:tr>
        <w:trPr>
          <w:cantSplit/>
        </w:trPr>
        <w:tc>
          <w:tcPr>
            <w:tcW w:type="dxa" w:w="1280"/>
            <w:tcBorders>
              <w:top w:val="single" w:color="CCCCCC" w:sz="1"/>
              <w:left w:val="single" w:color="CCCCCC" w:sz="1"/>
              <w:bottom w:val="single" w:color="CCCCCC" w:sz="1"/>
              <w:right w:val="single" w:color="CCCCCC" w:sz="1"/>
            </w:tcBorders>
            <w:shd w:fill="3B7A57" w:val="clear"/>
            <w:tcMar>
              <w:top w:type="dxa" w:w="80"/>
              <w:left w:type="dxa" w:w="120"/>
              <w:bottom w:type="dxa" w:w="80"/>
              <w:right w:type="dxa" w:w="120"/>
            </w:tcMar>
          </w:tcPr>
          <w:p>
            <w:pPr>
              <w:jc w:val="center"/>
            </w:pPr>
            <w:r>
              <w:rPr>
                <w:b/>
                <w:bCs/>
                <w:color w:val="FFFFFF"/>
                <w:sz w:val="22"/>
                <w:szCs w:val="22"/>
              </w:rPr>
              <w:t xml:space="preserve">GREEN</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 transfer risk + stable or improving performance. This player fits well and is developing.</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Maintain current plan. Reinforce positive trajectory. This is your program’s foundation.</w:t>
            </w:r>
          </w:p>
        </w:tc>
      </w:tr>
    </w:tbl>
    <w:p>
      <w:pPr>
        <w:spacing w:before="80"/>
      </w:pPr>
      <w:r>
        <w:t xml:space="preserve"/>
      </w:r>
    </w:p>
    <w:p>
      <w:pPr>
        <w:pStyle w:val="Heading2"/>
        <w:spacing w:after="80" w:before="180"/>
      </w:pPr>
      <w:r>
        <w:rPr>
          <w:b/>
          <w:bCs/>
          <w:color w:val="1F3A5F"/>
          <w:sz w:val="24"/>
          <w:szCs w:val="24"/>
        </w:rPr>
        <w:t xml:space="preserve">2025–26 Signal Distribution</w:t>
      </w:r>
    </w:p>
    <w:p>
      <w:pPr>
        <w:spacing w:after="80" w:before="40"/>
        <w:jc w:val="left"/>
      </w:pPr>
      <w:r>
        <w:t xml:space="preserve">All Division I football (FBS) and Division I basketball players are scored automatically for the 2025–26 cycle. Basketball is tuned to a focused watchlist (lower Red rate); football is tuned for action-priority triage across a full-roster population of ~115 student-athletes per program (the model scores ~54 per team on average, with 43 receiving a Red/Yellow/Green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cantSplit/>
          <w:tblHeader/>
        </w:trPr>
        <w:tc>
          <w:tcPr>
            <w:tcW w:type="dxa" w:w="23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Sport (2025–26)</w:t>
            </w:r>
          </w:p>
        </w:tc>
        <w:tc>
          <w:tcPr>
            <w:tcW w:type="dxa" w:w="1755"/>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sz w:val="20"/>
                <w:szCs w:val="20"/>
              </w:rPr>
              <w:t xml:space="preserve">Players</w:t>
            </w:r>
          </w:p>
        </w:tc>
        <w:tc>
          <w:tcPr>
            <w:tcW w:type="dxa" w:w="1755"/>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sz w:val="20"/>
                <w:szCs w:val="20"/>
              </w:rPr>
              <w:t xml:space="preserve">Red</w:t>
            </w:r>
          </w:p>
        </w:tc>
        <w:tc>
          <w:tcPr>
            <w:tcW w:type="dxa" w:w="1755"/>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sz w:val="20"/>
                <w:szCs w:val="20"/>
              </w:rPr>
              <w:t xml:space="preserve">Yellow</w:t>
            </w:r>
          </w:p>
        </w:tc>
        <w:tc>
          <w:tcPr>
            <w:tcW w:type="dxa" w:w="1755"/>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sz w:val="20"/>
                <w:szCs w:val="20"/>
              </w:rPr>
              <w:t xml:space="preserve">Green</w:t>
            </w:r>
          </w:p>
        </w:tc>
      </w:tr>
      <w:tr>
        <w:trPr>
          <w:cantSplit/>
        </w:trPr>
        <w:tc>
          <w:tcPr>
            <w:tcW w:type="dxa" w:w="2340"/>
            <w:tcBorders>
              <w:top w:val="single" w:color="CCCCCC" w:sz="1"/>
              <w:left w:val="single" w:color="CCCCCC" w:sz="1"/>
              <w:bottom w:val="single" w:color="CCCCCC" w:sz="1"/>
              <w:right w:val="single" w:color="CCCCCC" w:sz="1"/>
            </w:tcBorders>
            <w:shd w:fill="E4EAF2" w:val="clear"/>
            <w:tcMar>
              <w:top w:type="dxa" w:w="80"/>
              <w:left w:type="dxa" w:w="120"/>
              <w:bottom w:type="dxa" w:w="80"/>
              <w:right w:type="dxa" w:w="120"/>
            </w:tcMar>
          </w:tcPr>
          <w:p>
            <w:pPr>
              <w:jc w:val="left"/>
            </w:pPr>
            <w:r>
              <w:rPr>
                <w:b/>
                <w:bCs/>
                <w:color w:val="000000"/>
                <w:sz w:val="20"/>
                <w:szCs w:val="20"/>
              </w:rPr>
              <w:t xml:space="preserve">Football (FBS)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5,786</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B44C3C"/>
                <w:sz w:val="20"/>
                <w:szCs w:val="20"/>
              </w:rPr>
              <w:t xml:space="preserve">207  (4%)</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68A2E"/>
                <w:sz w:val="20"/>
                <w:szCs w:val="20"/>
              </w:rPr>
              <w:t xml:space="preserve">1,683  (29%)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3B7A57"/>
                <w:sz w:val="20"/>
                <w:szCs w:val="20"/>
              </w:rPr>
              <w:t xml:space="preserve">3,896  (67%)</w:t>
            </w:r>
          </w:p>
        </w:tc>
      </w:tr>
      <w:tr>
        <w:trPr>
          <w:cantSplit/>
        </w:trPr>
        <w:tc>
          <w:tcPr>
            <w:tcW w:type="dxa" w:w="2340"/>
            <w:tcBorders>
              <w:top w:val="single" w:color="CCCCCC" w:sz="1"/>
              <w:left w:val="single" w:color="CCCCCC" w:sz="1"/>
              <w:bottom w:val="single" w:color="CCCCCC" w:sz="1"/>
              <w:right w:val="single" w:color="CCCCCC" w:sz="1"/>
            </w:tcBorders>
            <w:shd w:fill="E4EAF2" w:val="clear"/>
            <w:tcMar>
              <w:top w:type="dxa" w:w="80"/>
              <w:left w:type="dxa" w:w="120"/>
              <w:bottom w:type="dxa" w:w="80"/>
              <w:right w:type="dxa" w:w="120"/>
            </w:tcMar>
          </w:tcPr>
          <w:p>
            <w:pPr>
              <w:jc w:val="left"/>
            </w:pPr>
            <w:r>
              <w:rPr>
                <w:b/>
                <w:bCs/>
                <w:color w:val="000000"/>
                <w:sz w:val="20"/>
                <w:szCs w:val="20"/>
              </w:rPr>
              <w:t xml:space="preserve">Basketball (D1)</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color w:val="000000"/>
                <w:sz w:val="20"/>
                <w:szCs w:val="20"/>
              </w:rPr>
              <w:t xml:space="preserve">4,979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B44C3C"/>
                <w:sz w:val="20"/>
                <w:szCs w:val="20"/>
              </w:rPr>
              <w:t xml:space="preserve">315  (6%)</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68A2E"/>
                <w:sz w:val="20"/>
                <w:szCs w:val="20"/>
              </w:rPr>
              <w:t xml:space="preserve">2,115  (43%)</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3B7A57"/>
                <w:sz w:val="20"/>
                <w:szCs w:val="20"/>
              </w:rPr>
              <w:t xml:space="preserve">2,549  (51%)</w:t>
            </w:r>
          </w:p>
        </w:tc>
      </w:tr>
    </w:tbl>
    <w:p>
      <w:pPr>
        <w:spacing w:after="80" w:before="40"/>
        <w:jc w:val="left"/>
      </w:pPr>
      <w:r>
        <w:rPr>
          <w:i/>
          <w:iCs/>
          <w:color w:val="666666"/>
          <w:sz w:val="20"/>
          <w:szCs w:val="20"/>
        </w:rPr>
        <w:t xml:space="preserve">Note on calibration: Although D1 basketball players transfer at a higher per-player rate (~44% vs ~24% for FBS football in the 2023–24 cycle), FB rosters are roughly 8× larger, so any threshold change has a much bigger impact on Red-list volume. FB thresholds are tuned higher (combined ≥ 0.65) to keep the shortlist actionable; basketball thresholds (combined ≥ 0.55) match the focused-watchlist metaphor for a smaller roster.</w:t>
      </w:r>
    </w:p>
    <w:p>
      <w:pPr>
        <w:pStyle w:val="Heading2"/>
        <w:spacing w:after="80" w:before="180"/>
      </w:pPr>
      <w:r>
        <w:rPr>
          <w:b/>
          <w:bCs/>
          <w:color w:val="1F3A5F"/>
          <w:sz w:val="24"/>
          <w:szCs w:val="24"/>
        </w:rPr>
        <w:t xml:space="preserve">Two Views: Coach + Athlete</w:t>
      </w:r>
    </w:p>
    <w:p>
      <w:pPr>
        <w:spacing w:after="80" w:before="40"/>
        <w:jc w:val="left"/>
      </w:pPr>
      <w:r>
        <w:rPr>
          <w:b/>
          <w:bCs/>
        </w:rPr>
        <w:t xml:space="preserve">Coach View: </w:t>
      </w:r>
      <w:r>
        <w:t xml:space="preserve">“Which players need my attention this week? Where are the friction points?” The coach dashboard surfaces Red players first, with specific reasons: declining minutes, prior portal history, coaching-system mismatch, or playing far from home.</w:t>
      </w:r>
    </w:p>
    <w:p>
      <w:pPr>
        <w:spacing w:after="80" w:before="40"/>
        <w:jc w:val="left"/>
      </w:pPr>
      <w:r>
        <w:rPr>
          <w:b/>
          <w:bCs/>
        </w:rPr>
        <w:t xml:space="preserve">Athlete View: </w:t>
      </w:r>
      <w:r>
        <w:t xml:space="preserve">“Where do I fit best? Am I growing here?” The athlete perspective shows trajectory trends, system fit analysis, and alignment signals that help players and their families make informed decisions.</w:t>
      </w:r>
    </w:p>
    <w:p>
      <w:r>
        <w:br w:type="page"/>
      </w:r>
    </w:p>
    <w:p>
      <w:pPr>
        <w:pStyle w:val="Heading1"/>
        <w:spacing w:after="140" w:before="220"/>
      </w:pPr>
      <w:r>
        <w:rPr>
          <w:b/>
          <w:bCs/>
          <w:color w:val="1F3A5F"/>
          <w:sz w:val="30"/>
          <w:szCs w:val="30"/>
        </w:rPr>
        <w:t xml:space="preserve">Football Transfer Risk Model (v8)</w:t>
      </w:r>
    </w:p>
    <w:p>
      <w:pPr>
        <w:spacing w:after="80" w:before="40"/>
        <w:jc w:val="left"/>
      </w:pPr>
      <w:r>
        <w:rPr>
          <w:i/>
          <w:iCs/>
          <w:color w:val="666666"/>
          <w:sz w:val="20"/>
          <w:szCs w:val="20"/>
        </w:rPr>
        <w:t xml:space="preserve">AUC 0.718 (snap-only holdout)  ·  40,473 player-seasons  ·  24 features  ·  2021–2024 data</w:t>
      </w:r>
    </w:p>
    <w:p>
      <w:pPr>
        <w:pStyle w:val="Heading3"/>
        <w:spacing w:after="40" w:before="120"/>
      </w:pPr>
      <w:r>
        <w:rPr>
          <w:b/>
          <w:bCs/>
          <w:color w:val="000000"/>
          <w:sz w:val="22"/>
          <w:szCs w:val="22"/>
        </w:rPr>
        <w:t xml:space="preserve">1. Program Stability Is the #1 Signal</w:t>
      </w:r>
    </w:p>
    <w:p>
      <w:pPr>
        <w:spacing w:after="80" w:before="40"/>
        <w:jc w:val="left"/>
      </w:pPr>
      <w:r>
        <w:t xml:space="preserve">Our biggest finding: coaching instability is the strongest predictor of transfers in college football. The Program Stability feature group (coaching changes, coach tenure, conference realignment, win rate) contributes +0.126 to the model’s AUC — more than any other group by 6×.</w:t>
      </w:r>
    </w:p>
    <w:p>
      <w:pPr>
        <w:spacing w:after="80" w:before="40"/>
        <w:jc w:val="left"/>
      </w:pPr>
      <w:r>
        <w:t xml:space="preserve">In plain language: when a program fires a coach or changes conferences, the transfer floodgates open. No other public model systematically measures coaching stability as a transfer predictor.</w:t>
      </w:r>
    </w:p>
    <w:p>
      <w:pPr>
        <w:pStyle w:val="Heading3"/>
        <w:spacing w:after="40" w:before="120"/>
      </w:pPr>
      <w:r>
        <w:rPr>
          <w:b/>
          <w:bCs/>
          <w:color w:val="000000"/>
          <w:sz w:val="22"/>
          <w:szCs w:val="22"/>
        </w:rPr>
        <w:t xml:space="preserve">2. PFF Snap Count Integration</w:t>
      </w:r>
    </w:p>
    <w:p>
      <w:pPr>
        <w:spacing w:after="80" w:before="40"/>
        <w:jc w:val="left"/>
      </w:pPr>
      <w:r>
        <w:t xml:space="preserve">We license PFF snap count data (159,000+ records) and integrate at the position-room level. A backup QB getting 15% of snaps at Alabama has very different transfer risk than a backup getting 15% at a mid-major. Public box scores cannot capture this nuance.</w:t>
      </w:r>
    </w:p>
    <w:p>
      <w:pPr>
        <w:pStyle w:val="Heading3"/>
        <w:spacing w:after="40" w:before="120"/>
      </w:pPr>
      <w:r>
        <w:rPr>
          <w:b/>
          <w:bCs/>
          <w:color w:val="000000"/>
          <w:sz w:val="22"/>
          <w:szCs w:val="22"/>
        </w:rPr>
        <w:t xml:space="preserve">3. Hometown Economic Context</w:t>
      </w:r>
    </w:p>
    <w:p>
      <w:pPr>
        <w:spacing w:after="80" w:before="40"/>
        <w:jc w:val="left"/>
      </w:pPr>
      <w:r>
        <w:t xml:space="preserve">We link each player’s high-school hometown to Census economic data (median income, poverty rate, urbanization) covering 15,755 US cities. This captures NIL-era dynamics that no other transfer model incorporates.</w:t>
      </w:r>
    </w:p>
    <w:p>
      <w:pPr>
        <w:pStyle w:val="Heading3"/>
        <w:spacing w:after="40" w:before="120"/>
      </w:pPr>
      <w:r>
        <w:rPr>
          <w:b/>
          <w:bCs/>
          <w:color w:val="000000"/>
          <w:sz w:val="22"/>
          <w:szCs w:val="22"/>
        </w:rPr>
        <w:t xml:space="preserve">4. Multi-Source Recruiting Intelligence</w:t>
      </w:r>
    </w:p>
    <w:p>
      <w:pPr>
        <w:spacing w:after="80" w:before="40"/>
        <w:jc w:val="left"/>
      </w:pPr>
      <w:r>
        <w:t xml:space="preserve">We combine 247Sports composite recruiting data with roster composition analysis. The model knows not just how highly a player was recruited, but how they rank within their own position room.</w:t>
      </w:r>
    </w:p>
    <w:p>
      <w:pPr>
        <w:pStyle w:val="Heading1"/>
        <w:spacing w:after="140" w:before="220"/>
      </w:pPr>
      <w:r>
        <w:rPr>
          <w:b/>
          <w:bCs/>
          <w:color w:val="1F3A5F"/>
          <w:sz w:val="30"/>
          <w:szCs w:val="30"/>
        </w:rPr>
        <w:t xml:space="preserve">Basketball Transfer Risk Model (v3)</w:t>
      </w:r>
    </w:p>
    <w:p>
      <w:pPr>
        <w:spacing w:after="80" w:before="40"/>
        <w:jc w:val="left"/>
      </w:pPr>
      <w:r>
        <w:rPr>
          <w:i/>
          <w:iCs/>
          <w:color w:val="666666"/>
          <w:sz w:val="20"/>
          <w:szCs w:val="20"/>
        </w:rPr>
        <w:t xml:space="preserve">AUC 0.778  ·  34,560 player-seasons  ·  50 features  ·  2019–2025 data</w:t>
      </w:r>
    </w:p>
    <w:p>
      <w:pPr>
        <w:pStyle w:val="Heading3"/>
        <w:spacing w:after="40" w:before="120"/>
      </w:pPr>
      <w:r>
        <w:rPr>
          <w:b/>
          <w:bCs/>
          <w:color w:val="000000"/>
          <w:sz w:val="22"/>
          <w:szCs w:val="22"/>
        </w:rPr>
        <w:t xml:space="preserve">1. Coaching System Fingerprints (365 Programs)</w:t>
      </w:r>
    </w:p>
    <w:p>
      <w:pPr>
        <w:spacing w:after="80" w:before="40"/>
        <w:jc w:val="left"/>
      </w:pPr>
      <w:r>
        <w:t xml:space="preserve">We built a proprietary database that classifies every D1 basketball program by coaching system type (Balanced, Perimeter, or Paint-First), with quantified metrics: guard percentage, big percentage, 3-point rate, and international recruiting rate.</w:t>
      </w:r>
    </w:p>
    <w:p>
      <w:pPr>
        <w:spacing w:after="80" w:before="40"/>
        <w:jc w:val="left"/>
      </w:pPr>
      <w:r>
        <w:t xml:space="preserve">A 6’11 center recruited into a Perimeter system that shoots 46% from three has fundamentally different transfer risk than the same player in a Paint-First system. We’re the first to quantify this.</w:t>
      </w:r>
    </w:p>
    <w:p>
      <w:pPr>
        <w:pStyle w:val="Heading3"/>
        <w:spacing w:after="40" w:before="120"/>
      </w:pPr>
      <w:r>
        <w:rPr>
          <w:b/>
          <w:bCs/>
          <w:color w:val="000000"/>
          <w:sz w:val="22"/>
          <w:szCs w:val="22"/>
        </w:rPr>
        <w:t xml:space="preserve">2. HC Playing Position Database (189 Coaches)</w:t>
      </w:r>
    </w:p>
    <w:p>
      <w:pPr>
        <w:spacing w:after="80" w:before="40"/>
        <w:jc w:val="left"/>
      </w:pPr>
      <w:r>
        <w:t xml:space="preserve">We researched the playing career of every current D1 head coach. Key finding: 77.8% were guards as players. Coaches who played guard tend to build systems that favor guard play, creating friction with big men. This is entirely original research.</w:t>
      </w:r>
    </w:p>
    <w:p>
      <w:pPr>
        <w:pStyle w:val="Heading3"/>
        <w:spacing w:after="40" w:before="120"/>
      </w:pPr>
      <w:r>
        <w:rPr>
          <w:b/>
          <w:bCs/>
          <w:color w:val="000000"/>
          <w:sz w:val="22"/>
          <w:szCs w:val="22"/>
        </w:rPr>
        <w:t xml:space="preserve">3. Portal History as a Predictive Feature</w:t>
      </w:r>
    </w:p>
    <w:p>
      <w:pPr>
        <w:spacing w:after="80" w:before="40"/>
        <w:jc w:val="left"/>
      </w:pPr>
      <w:r>
        <w:t xml:space="preserve">New in v3: we track whether a player has previously entered the portal. Portal history is the #1 feature in the model (17.8% importance). Repeat transfers are qualitatively different from first-time transfers — the model captures this distinction.</w:t>
      </w:r>
    </w:p>
    <w:p>
      <w:pPr>
        <w:pStyle w:val="Heading3"/>
        <w:spacing w:after="40" w:before="120"/>
      </w:pPr>
      <w:r>
        <w:rPr>
          <w:b/>
          <w:bCs/>
          <w:color w:val="000000"/>
          <w:sz w:val="22"/>
          <w:szCs w:val="22"/>
        </w:rPr>
        <w:t xml:space="preserve">4. Recruiting Stars + Hometown Economics</w:t>
      </w:r>
    </w:p>
    <w:p>
      <w:pPr>
        <w:spacing w:after="80" w:before="40"/>
        <w:jc w:val="left"/>
      </w:pPr>
      <w:r>
        <w:t xml:space="preserve">New in v3: we merged CBBD recruiting data (star ratings, national rankings) with state-level economic indicators via county FIPS codes. Combined with season-over-season performance trends (minutes change, BPM change), these five new feature groups pushed AUC from 0.714 to 0.778.</w:t>
      </w:r>
    </w:p>
    <w:p>
      <w:r>
        <w:br w:type="page"/>
      </w:r>
    </w:p>
    <w:p>
      <w:pPr>
        <w:pStyle w:val="Heading1"/>
        <w:spacing w:after="140" w:before="220"/>
      </w:pPr>
      <w:r>
        <w:rPr>
          <w:b/>
          <w:bCs/>
          <w:color w:val="1F3A5F"/>
          <w:sz w:val="30"/>
          <w:szCs w:val="30"/>
        </w:rPr>
        <w:t xml:space="preserve">Basketball Performance Trajectory (v1)</w:t>
      </w:r>
    </w:p>
    <w:p>
      <w:pPr>
        <w:spacing w:after="80" w:before="40"/>
        <w:jc w:val="left"/>
      </w:pPr>
      <w:r>
        <w:rPr>
          <w:i/>
          <w:iCs/>
          <w:color w:val="666666"/>
          <w:sz w:val="20"/>
          <w:szCs w:val="20"/>
        </w:rPr>
        <w:t xml:space="preserve">Improving AUC 0.733  ·  Declining AUC 0.739  ·  24,037 player-seasons  ·  40 features</w:t>
      </w:r>
    </w:p>
    <w:p>
      <w:pPr>
        <w:pStyle w:val="Heading3"/>
        <w:spacing w:after="40" w:before="120"/>
      </w:pPr>
      <w:r>
        <w:rPr>
          <w:b/>
          <w:bCs/>
          <w:color w:val="000000"/>
          <w:sz w:val="22"/>
          <w:szCs w:val="22"/>
        </w:rPr>
        <w:t xml:space="preserve">What It Predicts</w:t>
      </w:r>
    </w:p>
    <w:p>
      <w:pPr>
        <w:spacing w:after="80" w:before="40"/>
        <w:jc w:val="left"/>
      </w:pPr>
      <w:r>
        <w:t xml:space="preserve">For every player on every D1 roster, the basketball trajectory model predicts whether their on-court production will improve, hold steady, or decline next season. It uses a composite of Box Plus/Minus (BPM) and Player Rating Per Game (PRPG) change as the target.</w:t>
      </w:r>
    </w:p>
    <w:p>
      <w:pPr>
        <w:pStyle w:val="Heading3"/>
        <w:spacing w:after="40" w:before="120"/>
      </w:pPr>
      <w:r>
        <w:rPr>
          <w:b/>
          <w:bCs/>
          <w:color w:val="000000"/>
          <w:sz w:val="22"/>
          <w:szCs w:val="22"/>
        </w:rPr>
        <w:t xml:space="preserve">Why It Matters</w:t>
      </w:r>
    </w:p>
    <w:p>
      <w:pPr>
        <w:spacing w:after="80" w:before="40"/>
        <w:jc w:val="left"/>
      </w:pPr>
      <w:r>
        <w:t xml:space="preserve">Transfer risk alone tells you who might leave — but not why. A player whose minutes and efficiency are dropping is in a different situation than a player trending up who’s unhappy with their role. The trajectory model adds the developmental dimension that makes coaching conversations specific and actionable.</w:t>
      </w:r>
    </w:p>
    <w:p>
      <w:pPr>
        <w:pStyle w:val="Heading3"/>
        <w:spacing w:after="40" w:before="120"/>
      </w:pPr>
      <w:r>
        <w:rPr>
          <w:b/>
          <w:bCs/>
          <w:color w:val="000000"/>
          <w:sz w:val="22"/>
          <w:szCs w:val="22"/>
        </w:rPr>
        <w:t xml:space="preserve">Key Drivers</w:t>
      </w:r>
    </w:p>
    <w:p>
      <w:pPr>
        <w:pStyle w:val="ListParagraph"/>
        <w:numPr>
          <w:ilvl w:val="0"/>
          <w:numId w:val="2"/>
        </w:numPr>
        <w:spacing w:after="20" w:before="20"/>
      </w:pPr>
      <w:r>
        <w:t xml:space="preserve">Offensive rating (ORTG) is the #1 predictor for both improving and declining — current efficiency strongly signals future trajectory.</w:t>
      </w:r>
    </w:p>
    <w:p>
      <w:pPr>
        <w:pStyle w:val="ListParagraph"/>
        <w:numPr>
          <w:ilvl w:val="0"/>
          <w:numId w:val="2"/>
        </w:numPr>
        <w:spacing w:after="20" w:before="20"/>
      </w:pPr>
      <w:r>
        <w:t xml:space="preserve">Previous-season BPM change captures momentum — players who improved last year are more likely to improve again.</w:t>
      </w:r>
    </w:p>
    <w:p>
      <w:pPr>
        <w:pStyle w:val="ListParagraph"/>
        <w:numPr>
          <w:ilvl w:val="0"/>
          <w:numId w:val="2"/>
        </w:numPr>
        <w:spacing w:after="20" w:before="20"/>
      </w:pPr>
      <w:r>
        <w:t xml:space="preserve">Coaching system features (3-point rate, guard percentage) predict which systems develop which player types.</w:t>
      </w:r>
    </w:p>
    <w:p>
      <w:pPr>
        <w:pStyle w:val="ListParagraph"/>
        <w:numPr>
          <w:ilvl w:val="0"/>
          <w:numId w:val="2"/>
        </w:numPr>
        <w:spacing w:after="20" w:before="20"/>
      </w:pPr>
      <w:r>
        <w:t xml:space="preserve">Recruiting rating captures ceiling potential — higher-rated recruits have more room to develop in the right system.</w:t>
      </w:r>
    </w:p>
    <w:p>
      <w:pPr>
        <w:pStyle w:val="Heading1"/>
        <w:spacing w:after="140" w:before="220"/>
      </w:pPr>
      <w:r>
        <w:rPr>
          <w:b/>
          <w:bCs/>
          <w:color w:val="1F3A5F"/>
          <w:sz w:val="30"/>
          <w:szCs w:val="30"/>
        </w:rPr>
        <w:t xml:space="preserve">Football Performance Trajectory (v1)  — NEW</w:t>
      </w:r>
    </w:p>
    <w:p>
      <w:pPr>
        <w:spacing w:after="80" w:before="40"/>
        <w:jc w:val="left"/>
      </w:pPr>
      <w:r>
        <w:rPr>
          <w:i/>
          <w:iCs/>
          <w:color w:val="666666"/>
          <w:sz w:val="20"/>
          <w:szCs w:val="20"/>
        </w:rPr>
        <w:t xml:space="preserve">Improving AUC 0.806  ·  Declining AUC 0.805  ·  13,721 player-seasons  ·  2022–2023 training  ·  29 features</w:t>
      </w:r>
    </w:p>
    <w:p>
      <w:pPr>
        <w:pStyle w:val="Heading3"/>
        <w:spacing w:after="40" w:before="120"/>
      </w:pPr>
      <w:r>
        <w:rPr>
          <w:b/>
          <w:bCs/>
          <w:color w:val="000000"/>
          <w:sz w:val="22"/>
          <w:szCs w:val="22"/>
        </w:rPr>
        <w:t xml:space="preserve">What It Predicts</w:t>
      </w:r>
    </w:p>
    <w:p>
      <w:pPr>
        <w:spacing w:after="80" w:before="40"/>
        <w:jc w:val="left"/>
      </w:pPr>
      <w:r>
        <w:t xml:space="preserve">Mirror of the basketball architecture, for football. The model predicts whether each 2024 player’s PFF overall grade will move meaningfully up (≥ +5 grade points), meaningfully down (≤ –5), or hold steady next season. Training used 2022 and 2023 player-seasons that had both v7 features and a prior-year PFF grade.</w:t>
      </w:r>
    </w:p>
    <w:p>
      <w:pPr>
        <w:pStyle w:val="Heading3"/>
        <w:spacing w:after="40" w:before="120"/>
      </w:pPr>
      <w:r>
        <w:rPr>
          <w:b/>
          <w:bCs/>
          <w:color w:val="000000"/>
          <w:sz w:val="22"/>
          <w:szCs w:val="22"/>
        </w:rPr>
        <w:t xml:space="preserve">Time-Aware Validation</w:t>
      </w:r>
    </w:p>
    <w:p>
      <w:pPr>
        <w:spacing w:after="80" w:before="40"/>
        <w:jc w:val="left"/>
      </w:pPr>
      <w:r>
        <w:t xml:space="preserve">Trained on 2022, held out 2023, then retrained on all (2022 + 2023) for final scoring. Holdout AUCs landed at 0.806 (improving) and 0.805 (declining) — the honest, out-of-sample number. A first training pass hit AUC 0.997 because two career-relative features silently included the current season; we removed them and report only the clean result.</w:t>
      </w:r>
    </w:p>
    <w:p>
      <w:pPr>
        <w:pStyle w:val="Heading3"/>
        <w:spacing w:after="40" w:before="120"/>
      </w:pPr>
      <w:r>
        <w:rPr>
          <w:b/>
          <w:bCs/>
          <w:color w:val="000000"/>
          <w:sz w:val="22"/>
          <w:szCs w:val="22"/>
        </w:rPr>
        <w:t xml:space="preserve">Baseline-Honest Scoring</w:t>
      </w:r>
    </w:p>
    <w:p>
      <w:pPr>
        <w:spacing w:after="80" w:before="40"/>
        <w:jc w:val="left"/>
      </w:pPr>
      <w:r>
        <w:t xml:space="preserve">Football trajectory requires a prior-year PFF grade as the anchor feature. Of the 7,313 2024 FBS players scored, 2,899 (39.6%) have a 2023 PFF baseline and receive a full trajectory score; the remaining 4,414 (60.4%) — true freshmen, JUCO transfers, walk-ons with low snap counts — are explicitly flagged </w:t>
      </w:r>
      <w:r>
        <w:rPr>
          <w:b/>
          <w:bCs/>
        </w:rPr>
        <w:t xml:space="preserve">“No Baseline” </w:t>
      </w:r>
      <w:r>
        <w:t xml:space="preserve">rather than imputed. The Combined Risk/Fit signal treats them as trajectory-neutral, and players without any 2024 PFF record (1,527 transfers-in and deep reserves) are surfaced separately as an “Insufficient data” tier rather than forced into Red/Yellow/Green — so the 4% Red call on the 5,786 ranked players is never driven by a guessed trajectory or an imputation default.</w:t>
      </w:r>
    </w:p>
    <w:p>
      <w:pPr>
        <w:pStyle w:val="Heading3"/>
        <w:spacing w:after="40" w:before="120"/>
      </w:pPr>
      <w:r>
        <w:rPr>
          <w:b/>
          <w:bCs/>
          <w:color w:val="000000"/>
          <w:sz w:val="22"/>
          <w:szCs w:val="22"/>
        </w:rPr>
        <w:t xml:space="preserve">Top Drivers</w:t>
      </w:r>
    </w:p>
    <w:p>
      <w:pPr>
        <w:pStyle w:val="ListParagraph"/>
        <w:numPr>
          <w:ilvl w:val="0"/>
          <w:numId w:val="2"/>
        </w:numPr>
        <w:spacing w:after="20" w:before="20"/>
      </w:pPr>
      <w:r>
        <w:t xml:space="preserve">Prior-year PFF grade (prev_overall) — dominant feature for both improving and declining.</w:t>
      </w:r>
    </w:p>
    <w:p>
      <w:pPr>
        <w:pStyle w:val="ListParagraph"/>
        <w:numPr>
          <w:ilvl w:val="0"/>
          <w:numId w:val="2"/>
        </w:numPr>
        <w:spacing w:after="20" w:before="20"/>
      </w:pPr>
      <w:r>
        <w:t xml:space="preserve">Career season (year in program) — rookies improve more often than veterans; veterans decline more often.</w:t>
      </w:r>
    </w:p>
    <w:p>
      <w:pPr>
        <w:pStyle w:val="ListParagraph"/>
        <w:numPr>
          <w:ilvl w:val="0"/>
          <w:numId w:val="2"/>
        </w:numPr>
        <w:spacing w:after="20" w:before="20"/>
      </w:pPr>
      <w:r>
        <w:t xml:space="preserve">Snap opportunity (games-played %, total snaps, snaps vs. position average).</w:t>
      </w:r>
    </w:p>
    <w:p>
      <w:pPr>
        <w:pStyle w:val="ListParagraph"/>
        <w:numPr>
          <w:ilvl w:val="0"/>
          <w:numId w:val="2"/>
        </w:numPr>
        <w:spacing w:after="20" w:before="20"/>
      </w:pPr>
      <w:r>
        <w:t xml:space="preserve">Program context (coaching change, coach tenure, conference change, win %).</w:t>
      </w:r>
    </w:p>
    <w:p>
      <w:pPr>
        <w:pStyle w:val="ListParagraph"/>
        <w:numPr>
          <w:ilvl w:val="0"/>
          <w:numId w:val="2"/>
        </w:numPr>
        <w:spacing w:after="20" w:before="20"/>
      </w:pPr>
      <w:r>
        <w:t xml:space="preserve">Position group one-hots (QB / RB / WR / TE / OL / DL / LB / DB / ST) for position-specific patterns.</w:t>
      </w:r>
    </w:p>
    <w:p>
      <w:pPr>
        <w:pStyle w:val="Heading1"/>
        <w:spacing w:after="140" w:before="220"/>
      </w:pPr>
      <w:r>
        <w:rPr>
          <w:b/>
          <w:bCs/>
          <w:color w:val="1F3A5F"/>
          <w:sz w:val="30"/>
          <w:szCs w:val="30"/>
        </w:rPr>
        <w:t xml:space="preserve">Built for Future Intelligence</w:t>
      </w:r>
    </w:p>
    <w:p>
      <w:pPr>
        <w:spacing w:after="80" w:before="40"/>
        <w:jc w:val="left"/>
      </w:pPr>
      <w:r>
        <w:t xml:space="preserve">Both the transfer risk and performance trajectory models are already structured to incorporate two additional data layers that will sharpen prediction accuracy as they come online.</w:t>
      </w:r>
    </w:p>
    <w:p>
      <w:pPr>
        <w:pStyle w:val="Heading3"/>
        <w:spacing w:after="40" w:before="120"/>
      </w:pPr>
      <w:r>
        <w:rPr>
          <w:b/>
          <w:bCs/>
          <w:color w:val="000000"/>
          <w:sz w:val="22"/>
          <w:szCs w:val="22"/>
        </w:rPr>
        <w:t xml:space="preserve">Smart Dynamic Surveys</w:t>
      </w:r>
    </w:p>
    <w:p>
      <w:pPr>
        <w:spacing w:after="80" w:before="40"/>
        <w:jc w:val="left"/>
      </w:pPr>
      <w:r>
        <w:t xml:space="preserve">Planned features: player satisfaction score, culture fit score, coaching-relationship quality. Surveys are delivered at key moments — preseason, mid-season, after significant playing-time changes — and capture the subjective experience that statistics alone cannot measure.</w:t>
      </w:r>
    </w:p>
    <w:p>
      <w:pPr>
        <w:spacing w:after="80" w:before="40"/>
        <w:jc w:val="left"/>
      </w:pPr>
      <w:r>
        <w:rPr>
          <w:b/>
          <w:bCs/>
        </w:rPr>
        <w:t xml:space="preserve">How it integrates: </w:t>
      </w:r>
      <w:r>
        <w:t xml:space="preserve">survey scores feed directly into both models as adjustment layers. A player with strong on-field stats but low satisfaction scores will have their transfer risk adjusted upward and their trajectory flagged for coaching attention. The placeholder columns are already live in the pipeline — when the survey stream goes live, both models immediately start using the data with no retraining.</w:t>
      </w:r>
    </w:p>
    <w:p>
      <w:pPr>
        <w:pStyle w:val="Heading3"/>
        <w:spacing w:after="40" w:before="120"/>
      </w:pPr>
      <w:r>
        <w:rPr>
          <w:b/>
          <w:bCs/>
          <w:color w:val="000000"/>
          <w:sz w:val="22"/>
          <w:szCs w:val="22"/>
        </w:rPr>
        <w:t xml:space="preserve">Social Listening</w:t>
      </w:r>
    </w:p>
    <w:p>
      <w:pPr>
        <w:spacing w:after="80" w:before="40"/>
        <w:jc w:val="left"/>
      </w:pPr>
      <w:r>
        <w:t xml:space="preserve">Planned features: social-media sentiment score, engagement-trend delta, public-statement flags. NLP sentiment analysis on player social media, press quotes, and public interactions provides real-time signal that traditional statistics miss entirely.</w:t>
      </w:r>
    </w:p>
    <w:p>
      <w:pPr>
        <w:spacing w:after="80" w:before="40"/>
        <w:jc w:val="left"/>
      </w:pPr>
      <w:r>
        <w:rPr>
          <w:b/>
          <w:bCs/>
        </w:rPr>
        <w:t xml:space="preserve">How it integrates: </w:t>
      </w:r>
      <w:r>
        <w:t xml:space="preserve">social listening adjusts the combined Risk/Fit score in real time, capped at ±0.05 so no single post moves the needle — it’s a trend indicator, not a trigger.</w:t>
      </w:r>
    </w:p>
    <w:p>
      <w:pPr>
        <w:pStyle w:val="Heading3"/>
        <w:spacing w:after="40" w:before="120"/>
      </w:pPr>
      <w:r>
        <w:rPr>
          <w:b/>
          <w:bCs/>
          <w:color w:val="000000"/>
          <w:sz w:val="22"/>
          <w:szCs w:val="22"/>
        </w:rPr>
        <w:t xml:space="preserve">Why Build the Architecture Now</w:t>
      </w:r>
    </w:p>
    <w:p>
      <w:pPr>
        <w:spacing w:after="80" w:before="40"/>
        <w:jc w:val="left"/>
      </w:pPr>
      <w:r>
        <w:t xml:space="preserve">Most analytics platforms bolt on new data sources as afterthoughts, producing disconnected dashboards. EDGE3 built the survey and social integration points into the model architecture from day one. When those pipelines go live, both models start consuming the data automatically. That’s a significant engineering advantage competitors will struggle to replicate.</w:t>
      </w:r>
    </w:p>
    <w:p>
      <w:r>
        <w:br w:type="page"/>
      </w:r>
    </w:p>
    <w:p>
      <w:pPr>
        <w:pStyle w:val="Heading1"/>
        <w:spacing w:after="140" w:before="220"/>
      </w:pPr>
      <w:r>
        <w:rPr>
          <w:b/>
          <w:bCs/>
          <w:color w:val="1F3A5F"/>
          <w:sz w:val="30"/>
          <w:szCs w:val="30"/>
        </w:rPr>
        <w:t xml:space="preserve">What Competitors Don’t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20"/>
        <w:gridCol w:w="1720"/>
        <w:gridCol w:w="1720"/>
      </w:tblGrid>
      <w:tr>
        <w:trPr>
          <w:cantSplit/>
          <w:tblHeader/>
        </w:trPr>
        <w:tc>
          <w:tcPr>
            <w:tcW w:type="dxa" w:w="4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Capability</w:t>
            </w:r>
          </w:p>
        </w:tc>
        <w:tc>
          <w:tcPr>
            <w:tcW w:type="dxa" w:w="17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sz w:val="20"/>
                <w:szCs w:val="20"/>
              </w:rPr>
              <w:t xml:space="preserve">EDGE3</w:t>
            </w:r>
          </w:p>
        </w:tc>
        <w:tc>
          <w:tcPr>
            <w:tcW w:type="dxa" w:w="17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sz w:val="20"/>
                <w:szCs w:val="20"/>
              </w:rPr>
              <w:t xml:space="preserve">Portal Trackers</w:t>
            </w:r>
          </w:p>
        </w:tc>
        <w:tc>
          <w:tcPr>
            <w:tcW w:type="dxa" w:w="17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center"/>
            </w:pPr>
            <w:r>
              <w:rPr>
                <w:b/>
                <w:bCs/>
                <w:color w:val="FFFFFF"/>
                <w:sz w:val="20"/>
                <w:szCs w:val="20"/>
              </w:rPr>
              <w:t xml:space="preserve">General Analytics</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Predict transfers BEFORE portal entry</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Performance trajectory prediction</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Combined Red/Yellow/Green signal</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Dual-model parity across FB + BB</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Coaching system fingerprinting</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HC playing position analysis (BB)</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Hometown economic context</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Program stability quantification</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PFF snap count integration (FB)</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Some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Portal history as predictive feature</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Survey data hooks (placeholder active)</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Social listening hooks (placeholder active)</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Dual coach + athlete view</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r>
      <w:tr>
        <w:trPr>
          <w:cantSplit/>
        </w:trP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QC-audited, honest metrics</w:t>
            </w:r>
          </w:p>
        </w:tc>
        <w:tc>
          <w:tcPr>
            <w:tcW w:type="dxa" w:w="1720"/>
            <w:tcBorders>
              <w:top w:val="single" w:color="CCCCCC" w:sz="1"/>
              <w:left w:val="single" w:color="CCCCCC" w:sz="1"/>
              <w:bottom w:val="single" w:color="CCCCCC" w:sz="1"/>
              <w:right w:val="single" w:color="CCCCCC" w:sz="1"/>
            </w:tcBorders>
            <w:shd w:fill="E8F1EA" w:val="clear"/>
            <w:tcMar>
              <w:top w:type="dxa" w:w="80"/>
              <w:left w:type="dxa" w:w="120"/>
              <w:bottom w:type="dxa" w:w="80"/>
              <w:right w:type="dxa" w:w="120"/>
            </w:tcMar>
          </w:tcPr>
          <w:p>
            <w:pPr>
              <w:jc w:val="center"/>
            </w:pPr>
            <w:r>
              <w:rPr>
                <w:b/>
                <w:bCs/>
                <w:color w:val="3B7A57"/>
                <w:sz w:val="22"/>
                <w:szCs w:val="22"/>
              </w:rPr>
              <w:t xml:space="preserve">✓</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N/A</w:t>
            </w:r>
          </w:p>
        </w:tc>
        <w:tc>
          <w:tcPr>
            <w:tcW w:type="dxa" w:w="1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Varies</w:t>
            </w:r>
          </w:p>
        </w:tc>
      </w:tr>
    </w:tbl>
    <w:p>
      <w:pPr>
        <w:spacing w:before="140"/>
      </w:pPr>
      <w:r>
        <w:t xml:space="preserve"/>
      </w:r>
    </w:p>
    <w:p>
      <w:pPr>
        <w:pStyle w:val="Heading1"/>
        <w:spacing w:after="140" w:before="220"/>
      </w:pPr>
      <w:r>
        <w:rPr>
          <w:b/>
          <w:bCs/>
          <w:color w:val="1F3A5F"/>
          <w:sz w:val="30"/>
          <w:szCs w:val="30"/>
        </w:rPr>
        <w:t xml:space="preserve">How to Explain It (30-Second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1F3A5F" w:sz="8"/>
              <w:left w:val="single" w:color="1F3A5F" w:sz="8"/>
              <w:bottom w:val="single" w:color="1F3A5F" w:sz="8"/>
              <w:right w:val="single" w:color="1F3A5F" w:sz="8"/>
            </w:tcBorders>
            <w:shd w:fill="F1F4F9" w:val="clear"/>
            <w:tcMar>
              <w:top w:type="dxa" w:w="200"/>
              <w:left w:type="dxa" w:w="280"/>
              <w:bottom w:type="dxa" w:w="200"/>
              <w:right w:type="dxa" w:w="280"/>
            </w:tcMar>
          </w:tcPr>
          <w:p>
            <w:pPr>
              <w:spacing w:after="40" w:before="40"/>
            </w:pPr>
            <w:r>
              <w:rPr>
                <w:i/>
                <w:iCs/>
                <w:sz w:val="22"/>
                <w:szCs w:val="22"/>
              </w:rPr>
              <w:t xml:space="preserve">“Everyone else tells you who just entered the portal. We tell you who’s about to — and whether they’re getting better or worse. Our models combine playing time, coaching stability, recruiting background, hometown economics, and performance trajectory into a single Red/Yellow/Green score coaches can act on in their next staff meeting. We built it for both football and basketball, with coaching-intelligence layers no one else has — what positions head coaches played, what systems they run, and who mentored them. And the whole thing is already wired to get smarter with player surveys and social listening when those pipelines go live.”</w:t>
            </w:r>
          </w:p>
        </w:tc>
      </w:tr>
    </w:tbl>
    <w:p>
      <w:pPr>
        <w:pStyle w:val="Heading1"/>
        <w:spacing w:after="140" w:before="220"/>
      </w:pPr>
      <w:r>
        <w:rPr>
          <w:b/>
          <w:bCs/>
          <w:color w:val="1F3A5F"/>
          <w:sz w:val="30"/>
          <w:szCs w:val="30"/>
        </w:rPr>
        <w:t xml:space="preserve">Data Integrity</w:t>
      </w:r>
    </w:p>
    <w:p>
      <w:pPr>
        <w:spacing w:after="80" w:before="40"/>
        <w:jc w:val="left"/>
      </w:pPr>
      <w:r>
        <w:t xml:space="preserve">All model metrics have been independently QC-audited (April 2026). When we discovered a data-leakage issue in Football v7 that inflated AUC from 0.718 to 0.782, we disclosed it, retrained the model cleanly, and documented the fix. We caught the same pattern during Football Trajectory v1 development — a first pass scored AUC 0.997 because career-relative features included the current season — and re-trained to an honest 0.806. We report the clean numbers because our credibility depends on it.</w:t>
      </w:r>
    </w:p>
    <w:p>
      <w:pPr>
        <w:spacing w:after="80" w:before="40"/>
        <w:jc w:val="left"/>
      </w:pPr>
      <w:r>
        <w:t xml:space="preserve">Both sports use time-based train/test splits (train on historical seasons, validate on the most recent held-out season) to measure real predictive power, not overfit to data we’ve already seen.</w:t>
      </w:r>
    </w:p>
    <w:p>
      <w:pPr>
        <w:spacing w:after="80" w:before="40"/>
        <w:jc w:val="left"/>
      </w:pPr>
      <w:r>
        <w:t xml:space="preserve">The performance trajectory models were validated against actual next-season outcomes, not in-sample predictions. Players without a prior-year baseline grade are flagged “No Baseline” rather than imputed — every trajectory score on screen reflects a real signal, and the Combined Risk/Fit flag is never driven by a guessed number.</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color w:val="666666"/>
        <w:sz w:val="18"/>
        <w:szCs w:val="18"/>
      </w:rPr>
      <w:t xml:space="preserve">EDGE3 Athlete Intelligence  ·  April 2026</w:t>
    </w:r>
    <w:r>
      <w:rPr>
        <w:sz w:val="18"/>
        <w:szCs w:val="18"/>
      </w:rPr>
      <w:t xml:space="preserve">	</w:t>
    </w: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1F3A5F"/>
      <w:sz w:val="24"/>
      <w:szCs w:val="24"/>
    </w:rPr>
  </w:style>
  <w:style w:type="paragraph" w:styleId="Heading3">
    <w:name w:val="Heading 3"/>
    <w:basedOn w:val="Normal"/>
    <w:next w:val="Normal"/>
    <w:qFormat/>
    <w:pPr>
      <w:spacing w:after="40" w:before="12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2026-04-20T23:27:50.121Z</dcterms:created>
  <dcterms:modified xsi:type="dcterms:W3CDTF">2026-04-20T23:27:50.121Z</dcterms:modified>
</cp:coreProperties>
</file>

<file path=docProps/custom.xml><?xml version="1.0" encoding="utf-8"?>
<Properties xmlns="http://schemas.openxmlformats.org/officeDocument/2006/custom-properties" xmlns:vt="http://schemas.openxmlformats.org/officeDocument/2006/docPropsVTypes"/>
</file>