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38"/>
          <w:szCs w:val="38"/>
        </w:rPr>
        <w:t xml:space="preserve">研道街 · CHI 论文 方法与结果骨架</w:t>
      </w:r>
    </w:p>
    <w:p>
      <w:pPr>
        <w:spacing w:after="40"/>
        <w:jc w:val="center"/>
      </w:pPr>
      <w:r>
        <w:rPr>
          <w:i/>
          <w:iCs/>
          <w:color w:val="555555"/>
          <w:sz w:val="21"/>
          <w:szCs w:val="21"/>
        </w:rPr>
        <w:t xml:space="preserve">Methods &amp; Results Skeleton — LLM Diagnose–Defend Loop &amp; Expert Influence Study</w:t>
      </w:r>
    </w:p>
    <w:p>
      <w:pPr>
        <w:spacing w:after="180"/>
        <w:jc w:val="center"/>
      </w:pPr>
      <w:r>
        <w:rPr>
          <w:color w:val="7A5C00"/>
          <w:sz w:val="19"/>
          <w:szCs w:val="19"/>
        </w:rPr>
        <w:t xml:space="preserve">黄色块＝待填占位（[N]/[X%]）。每个结果小节标注了数据来源列与对应分析脚本指标。</w:t>
      </w:r>
    </w:p>
    <w:p>
      <w:pPr>
        <w:pBdr>
          <w:bottom w:val="single" w:color="1F3864" w:sz="12" w:space="1"/>
        </w:pBdr>
        <w:spacing w:after="160"/>
      </w:pPr>
    </w:p>
    <w:p>
      <w:pPr>
        <w:spacing w:after="100"/>
      </w:pPr>
      <w:r>
        <w:rPr>
          <w:b/>
          <w:bCs/>
          <w:color w:val="1F3864"/>
          <w:sz w:val="24"/>
          <w:szCs w:val="24"/>
        </w:rPr>
        <w:t xml:space="preserve">目录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研究问题（Research Questions）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核心四问刻画系统与可靠性；RQ5–9 是顺着影响力设计挖出的、更具 Human-AI 张力的问题。建议主脊：RQ2 → RQ3/RQ5 → RQ8 收口。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21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RQ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问题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层级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diagnose→defend 循环能否把学生推上 ICAP 阶梯？何时崩？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核心·系统刻画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RQ2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诊断的 groundedness / 与专家盲评一致性 / 臆造率？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核心·可靠性基座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RQ3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看到 AI 诊断（±推理）后，专家把自己的判断移动了多少？恰当还是有害？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核心·影响(升级)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RQ4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追问是否真“答辩式”（L3/L4、对准 gap）？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核心·教学动作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RQ5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错的时候是否反而更能说服专家（过度依赖）？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候选·锐化 RQ3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RQ6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不忠实/捏造的 reasoning 是否和忠实 reasoning 一样能说服？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候选·XAI×依赖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RQ7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AI（尤其 +推理）是否只抬高专家信心却不提高准确率？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候选·信心误校准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RQ8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是否恰在最可能错时最有说服力（薄反思→臆造↑且专家让步↑）？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候选·双重危险(首推)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RQ9</w:t>
            </w:r>
          </w:p>
        </w:tc>
        <w:tc>
          <w:tcPr>
            <w:tcW w:type="dxa" w:w="6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专家是否把 AI 编造的细节写进自己的改判依据（幻觉洗白）？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候选·定性亮点</w:t>
            </w:r>
          </w:p>
        </w:tc>
      </w:tr>
    </w:tbl>
    <w:p>
      <w:pPr>
        <w:pStyle w:val="Heading1"/>
      </w:pPr>
      <w:r>
        <w:t xml:space="preserve">2. 方法（Method）</w:t>
      </w:r>
    </w:p>
    <w:p>
      <w:pPr>
        <w:pStyle w:val="Heading2"/>
      </w:pPr>
      <w:r>
        <w:t xml:space="preserve">2.1 参与者 Participants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部署数据：50 名小学生、140 个学习会话、551 轮答辩对话，覆盖 3 个学科（数学/科学/英语）的 3 节课。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专家评分员：按学科分组，每个学科各 3 名本学科在职教师，共 9 名（数学/科学/英语 × 3，[教龄=__]）；另设 [N=__] 名资深教师组成金标准裁定组（与评分组不重叠）。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待填：教师招募与资质、知情同意/IRB 编号、补偿。</w:t>
      </w:r>
    </w:p>
    <w:p>
      <w:pPr>
        <w:pStyle w:val="Heading2"/>
      </w:pPr>
      <w:r>
        <w:t xml:space="preserve">2.2 材料 Materials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从 551 轮中按 学科 × 轮次 × 反思厚度 分层抽样 140 轮（薄反思过采：薄 70 / 中 42 / 厚 28；三科 41/49/50）。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每轮含：学习目标、学生反思（输入）、上一轮问答、AI 诊断(mastered/not_mastered)、AI 追问、学生回答、AI 推理轨迹(reasoning_content)。</w:t>
      </w:r>
    </w:p>
    <w:p>
      <w:pPr>
        <w:pStyle w:val="Heading2"/>
      </w:pPr>
      <w:r>
        <w:t xml:space="preserve">2.3 设计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三阶段被试内设计：P1 盲评 → P2 看 AI 后重评 → P3 评 AI 质量。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按学科分面板：每个学科的轮次（数学 41 / 科学 49 / 英语 50）由该学科 3 位教师全交叉评分；学科为被试间因素，评分员信度在各学科面板内计算。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±推理 为学科面板内的同条目跨教师交叉（within-item crossover）：每轮经 6 行平衡轮转分配，使每轮同时被两种条件评过、且每位教师约 50% +推理。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行序按 学科 × 教师 做确定性随机化。</w:t>
      </w:r>
    </w:p>
    <w:p>
      <w:pPr>
        <w:pStyle w:val="Heading2"/>
      </w:pPr>
      <w:r>
        <w:t xml:space="preserve">2.4 测量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2660"/>
        <w:gridCol w:w="13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构念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量表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对应列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 盲评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自评掌握度 / 我会怎么问 / 信心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3/2/1/0 · 文本 · 1–5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 三列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 重评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看 AI 后自评掌握度 / 信心 / 改判说明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3/2/1/0 · 1–5 · 文本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 三列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诊断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groundedness / 与盲诊一致 / 有用性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类别 · 类别 · 1–5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诊断三列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追问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相关 / 对准 / 引出力 / 适切 / 会用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1–5 · 1–5 · L1–L4 · 1–5 · 是否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追问五列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回答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态度 / ICAP / 深度 / 正确性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类别 · 四级 · 1–5 · 类别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回答四列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推理审计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逻辑 / faithfulness / 有无捏造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1–5 · 1–5 · 有/无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推理审计 6a–6c</w:t>
            </w:r>
          </w:p>
        </w:tc>
      </w:tr>
    </w:tbl>
    <w:p>
      <w:pPr>
        <w:pStyle w:val="Heading2"/>
      </w:pPr>
      <w:r>
        <w:t xml:space="preserve">2.5 程序 Procedure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校准（norming）：3 位教师先用 10 条共同样本对齐锚点。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正式评分按 P1→P2→P3 锁定顺序；+推理 行在 P2 提供 AI 推理，仅结论行不提供。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最后单独完成推理审计（仅本人 +推理 行）。</w:t>
      </w:r>
    </w:p>
    <w:p>
      <w:pPr>
        <w:pStyle w:val="Heading2"/>
      </w:pPr>
      <w:r>
        <w:t xml:space="preserve">2.6 金标准 Gold standard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由资深裁定组对抽样轮逐目标给出“真值”掌握度（3/2/1/0），用于把“专家向 AI 移动”区分为恰当/有害依赖、并做信心校准。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待填：裁定组人数、裁定流程、其内部一致性。导出为 gold_truth.csv (round_id, obj_index, truth)。</w:t>
      </w:r>
    </w:p>
    <w:p>
      <w:pPr>
        <w:pStyle w:val="Heading2"/>
      </w:pPr>
      <w:r>
        <w:t xml:space="preserve">2.7 LLM-as-judge 三角验证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≥2 个跨家族评审模型（非 DeepSeek）对全部 551 轮跑同一 rubric；在 140 轮专家子集上算 human↔judge 一致性，仅在一致性达标的维度用 judge 报全语料分布。</w:t>
      </w:r>
    </w:p>
    <w:p>
      <w:pPr>
        <w:pStyle w:val="Heading2"/>
      </w:pPr>
      <w:r>
        <w:t xml:space="preserve">2.8 分析计划 Analysis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怎么算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回答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改判率 / 向AI移动率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P2≠P1 的目标占比；改判中朝 AI 立场移动占比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WOA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(P2−P1)/(AI−P1)，逐目标，0=无视 1=完全采纳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RQ3/RQ5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ΔConf / 信心校准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P2−P1 信心；与 Δ准确率背离（需金标准）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RQ7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依赖 2×2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AI对/错 × 改向/未改（需金标准）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RQ3/RQ5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±推理效应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上述指标在 +推理 vs 仅结论 间作差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失败链曲线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臆造率/相关/脱离/WOA 随反思厚度变化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RQ8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IRR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各学科面板内 Fleiss κ（类别）/ Krippendorff α（有序）+ pooled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全部·可信度</w:t>
            </w:r>
          </w:p>
        </w:tc>
      </w:tr>
    </w:tbl>
    <w:p>
      <w:pPr>
        <w:spacing w:after="100" w:before="6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以上均由 analyze_ratings.py 产出；WOA / 2×2 需先做 AI 逐目标立场编码（code_ai_stance，建议人/LLM 编码替换启发式）。</w:t>
      </w:r>
    </w:p>
    <w:p>
      <w:r>
        <w:br w:type="page"/>
      </w:r>
    </w:p>
    <w:p>
      <w:pPr>
        <w:pStyle w:val="Heading1"/>
      </w:pPr>
      <w:r>
        <w:t xml:space="preserve">3. 结果骨架（Results — 待填）</w:t>
      </w:r>
    </w:p>
    <w:p>
      <w:pPr>
        <w:pStyle w:val="Heading3"/>
      </w:pPr>
      <w:r>
        <w:t xml:space="preserve">3.1 [RQ2] 诊断可靠性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专家确认 AI 约 [X%] 的掌握判断为无据臆造（[n]/[N]，95%CI [__]）；AI 与专家盲诊的逐目标一致性 κ=[__]，inter-teacher κ=[__] 为上限。</w:t>
      </w:r>
    </w:p>
    <w:p>
      <w:pPr>
        <w:spacing w:after="100" w:before="0"/>
      </w:pPr>
      <w:r>
        <w:rPr>
          <w:b w:val="false"/>
          <w:bCs w:val="false"/>
          <w:i w:val="false"/>
          <w:iCs w:val="false"/>
          <w:color w:val="555555"/>
          <w:sz w:val="20"/>
          <w:szCs w:val="20"/>
        </w:rPr>
        <w:t xml:space="preserve">数据列：Q 诊断groundedness、P1 盲诊 vs AI；脚本：诊断可靠性 + IRR。</w:t>
      </w:r>
    </w:p>
    <w:p>
      <w:pPr>
        <w:pStyle w:val="Heading3"/>
      </w:pPr>
      <w:r>
        <w:t xml:space="preserve">3.2 [RQ3/RQ5] AI 对专家判断的影响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读完 AI 后，专家在 [X%] 的目标上改判，其中 [Y%] 朝 AI 移动；WOA=[__]。依赖 2×2：恰当依赖 [n]、过度依赖(有害) [n]、算法厌恶 [n]、恰当自信 [n]。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改向 AI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未改向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 正确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恰当依赖 [n]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算法厌恶 [n]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 错误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过度依赖(有害) [n]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恰当自信 [n]</w:t>
            </w:r>
          </w:p>
        </w:tc>
      </w:tr>
    </w:tbl>
    <w:p>
      <w:pPr>
        <w:pStyle w:val="Heading3"/>
      </w:pPr>
      <w:r>
        <w:t xml:space="preserve">3.3 [RQ3] ±推理 效应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+推理 vs 仅结论：改判率 [X%] vs [X%]；WOA [__] vs [__]；ΔConf [__] vs [__]。→ 推理[是否]显著提高了说服/信心而非准确。</w:t>
      </w:r>
    </w:p>
    <w:p>
      <w:pPr>
        <w:pStyle w:val="Heading3"/>
      </w:pPr>
      <w:r>
        <w:t xml:space="preserve">3.4 [RQ8] 双重危险（首推图）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反思越薄：AI 臆造率 [薄__%/中__%/厚__%]，专家 WOA [薄__/中__/厚__] —— 两线叠加，AI 在学生给得最少时最自信地错、专家最易被说服。</w:t>
      </w:r>
    </w:p>
    <w:p>
      <w:pPr>
        <w:spacing w:after="100" w:before="0"/>
      </w:pPr>
      <w:r>
        <w:rPr>
          <w:b w:val="false"/>
          <w:bCs w:val="false"/>
          <w:i w:val="false"/>
          <w:iCs w:val="false"/>
          <w:color w:val="555555"/>
          <w:sz w:val="20"/>
          <w:szCs w:val="20"/>
        </w:rPr>
        <w:t xml:space="preserve">图：failure_chain.png（由 analyze_ratings.py 生成）。</w:t>
      </w:r>
    </w:p>
    <w:p>
      <w:pPr>
        <w:pStyle w:val="Heading3"/>
      </w:pPr>
      <w:r>
        <w:t xml:space="preserve">3.5 [RQ6] 不忠实推理仍能说服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在 faithfulness 低（6b≤2 或 6c=有）的子集，WOA=[__]，与高 faithfulness 子集 [__] 差异 [显著/不显著] —— 解释的说服力[是否]与其正确性脱钩。</w:t>
      </w:r>
    </w:p>
    <w:p>
      <w:pPr>
        <w:pStyle w:val="Heading3"/>
      </w:pPr>
      <w:r>
        <w:t xml:space="preserve">3.6 [RQ9] 幻觉洗白（定性）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在 [n] 条改判说明中，[n] 条出现了 AI 编造、而学生从未表达的具体内容被专家当作依据。摘录 2–3 例。</w:t>
      </w:r>
    </w:p>
    <w:p>
      <w:pPr>
        <w:pStyle w:val="Heading3"/>
      </w:pPr>
      <w:r>
        <w:t xml:space="preserve">3.7 [RQ1/RQ4] 循环刻画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AI 追问落在 L3/L4 的比例 [X%]；学生回答 ICAP 分布 [被动__/主动__/建构__/互动__]；追问引出力越高，学生 ICAP 越高（[相关/回归__]）。</w:t>
      </w:r>
    </w:p>
    <w:p>
      <w:pPr>
        <w:pStyle w:val="Heading3"/>
      </w:pPr>
      <w:r>
        <w:t xml:space="preserve">3.8 评分员信度（IRR）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各学科面板 IRR（数学/科学/英语）：ICAP κ=[__/__/__]，groundedness κ=[__/__/__]，追问相关 α=[__/__/__]（pooled [__]）；human↔LLM-judge 一致性见附表。</w:t>
      </w:r>
    </w:p>
    <w:p>
      <w:pPr>
        <w:pStyle w:val="Heading1"/>
      </w:pPr>
      <w:r>
        <w:t xml:space="preserve">4. 效度威胁与局限（Threats &amp; Limitations）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单点部署、n=50、3 节课、单一文化语境；无对照/无学习结果测量 → 框定为“现场部署 + 专家审计”，不宣称学习增益。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专家诊断为“专家参照标准”而非绝对真值；报告 inter-teacher 一致性作为上限。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±推理 在 Excel/包内为同条目跨教师交叉，仍可能有顺序/演示效应；以行随机化与 norming 缓解。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WOA/2×2 依赖 AI 立场编码与金标准；编码方式与裁定流程需在文中交代。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over-reliance 文献已多 → 以“领域专家 × 对真实儿童的诊断 × 会臆造的 LLM × 真实课堂”差异化。</w:t>
      </w:r>
    </w:p>
    <w:p>
      <w:r>
        <w:br w:type="page"/>
      </w:r>
    </w:p>
    <w:p>
      <w:pPr>
        <w:pStyle w:val="Heading1"/>
      </w:pPr>
      <w:r>
        <w:t xml:space="preserve">附录 A. 列 → 指标 → 图表 映射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500"/>
        <w:gridCol w:w="216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评分列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进入哪个指标 / 结果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脚本字段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P1/P2 盲诊&amp;重评掌握度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改判率 / WOA / 2×2 / 失败链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parse_diag, code_ai_stance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P1/P2 信心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ΔConf / 信心校准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p1_conf, p2_conf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条件(±推理)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±推理效应分组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cond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诊断groundedness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臆造率 / 失败链臆造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gnd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追问相关性 / 对准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失败链(追问跑偏) / RQ4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relevance, ontarget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引出力 (L1–L4)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RQ4 答辩式占比 / RQ1 关联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elicit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ICAP / 深度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 学生推理 / 追问→ICAP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icap, depth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 作答态度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失败链(脱离率)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attitude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推理审计 6a–6c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RQ6 不忠实推理说服力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(reasoning sheet)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P2 改判说明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RQ9 幻觉洗白(定性)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(qualitative)</w:t>
            </w:r>
          </w:p>
        </w:tc>
      </w:tr>
    </w:tbl>
    <w:p>
      <w:pPr>
        <w:spacing w:after="100" w:before="200"/>
      </w:pPr>
      <w:r>
        <w:rPr>
          <w:b w:val="false"/>
          <w:bCs w:val="false"/>
          <w:i/>
          <w:iCs/>
          <w:color w:val="999999"/>
          <w:sz w:val="22"/>
          <w:szCs w:val="22"/>
        </w:rPr>
        <w:t xml:space="preserve">—— 骨架结束，按黄色占位填数 ——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60"/>
      <w:outlineLvl w:val="0"/>
    </w:pPr>
    <w:rPr>
      <w:b/>
      <w:bCs/>
      <w:color w:val="1F3864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2E5496"/>
      <w:sz w:val="25"/>
      <w:szCs w:val="25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150" w:after="80"/>
      <w:outlineLvl w:val="2"/>
    </w:pPr>
    <w:rPr>
      <w:b/>
      <w:bCs/>
      <w:color w:val="1F1F1F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2026-06-19T00:21:06.032Z</dcterms:created>
  <dcterms:modified xsi:type="dcterms:W3CDTF">2026-06-19T00:21:06.033Z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