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B9E3E" w14:textId="77777777" w:rsidR="005863F7" w:rsidRDefault="005863F7" w:rsidP="00E47C8A">
      <w:pPr>
        <w:pStyle w:val="10"/>
        <w:ind w:left="640" w:hanging="640"/>
      </w:pPr>
      <w:r>
        <w:rPr>
          <w:rFonts w:hint="eastAsia"/>
        </w:rPr>
        <w:t>工业无线安全</w:t>
      </w:r>
    </w:p>
    <w:p w14:paraId="58327BFA" w14:textId="4C627B77" w:rsidR="00C161D2" w:rsidRPr="00474996" w:rsidRDefault="00C161D2" w:rsidP="00474996">
      <w:pPr>
        <w:pStyle w:val="2"/>
      </w:pPr>
      <w:r w:rsidRPr="00474996">
        <w:rPr>
          <w:rFonts w:hint="eastAsia"/>
        </w:rPr>
        <w:t>安全需求</w:t>
      </w:r>
      <w:r w:rsidR="00474996" w:rsidRPr="00474996">
        <w:rPr>
          <w:rFonts w:hint="eastAsia"/>
        </w:rPr>
        <w:t>和</w:t>
      </w:r>
      <w:r w:rsidRPr="00474996">
        <w:rPr>
          <w:rFonts w:hint="eastAsia"/>
        </w:rPr>
        <w:t>问题</w:t>
      </w:r>
    </w:p>
    <w:p w14:paraId="6604C67D" w14:textId="07BEBB5B" w:rsidR="008B77B0" w:rsidRDefault="008B77B0" w:rsidP="008B77B0">
      <w:pPr>
        <w:ind w:firstLine="480"/>
      </w:pPr>
      <w:r>
        <w:rPr>
          <w:rFonts w:hint="eastAsia"/>
        </w:rPr>
        <w:t>可信计算是指计算运算的同时进行安全防护，计算全程可测可控，不被干扰，只有这样方能使计算结果总是与预期一样。改变只讲求计算效率，而不讲安全防护的片面计算模式。</w:t>
      </w:r>
    </w:p>
    <w:p w14:paraId="15771C80" w14:textId="520CDB2A" w:rsidR="008B77B0" w:rsidRDefault="00231198" w:rsidP="008B77B0">
      <w:pPr>
        <w:ind w:firstLine="480"/>
      </w:pPr>
      <w:r>
        <w:rPr>
          <w:rFonts w:hint="eastAsia"/>
        </w:rPr>
        <w:t>在图１所示的双体系结构中，采用了一种运算和</w:t>
      </w:r>
      <w:r w:rsidR="008B77B0" w:rsidRPr="008B77B0">
        <w:rPr>
          <w:rFonts w:hint="eastAsia"/>
        </w:rPr>
        <w:t>防护并存的主动免疫的新计算模式，以密码为基因实</w:t>
      </w:r>
      <w:r w:rsidR="008B77B0">
        <w:rPr>
          <w:rFonts w:hint="eastAsia"/>
        </w:rPr>
        <w:t>施身份识别、</w:t>
      </w:r>
      <w:proofErr w:type="gramStart"/>
      <w:r w:rsidR="008B77B0">
        <w:rPr>
          <w:rFonts w:hint="eastAsia"/>
        </w:rPr>
        <w:t>优态度量</w:t>
      </w:r>
      <w:proofErr w:type="gramEnd"/>
      <w:r w:rsidR="008B77B0">
        <w:rPr>
          <w:rFonts w:hint="eastAsia"/>
        </w:rPr>
        <w:t>、保密存储等功能，及时识ｓｉ</w:t>
      </w:r>
      <w:r w:rsidR="008B77B0" w:rsidRPr="008B77B0">
        <w:rPr>
          <w:rFonts w:hint="eastAsia"/>
        </w:rPr>
        <w:t>自己</w:t>
      </w:r>
      <w:proofErr w:type="gramStart"/>
      <w:r w:rsidR="008B77B0" w:rsidRPr="008B77B0">
        <w:rPr>
          <w:rFonts w:hint="eastAsia"/>
        </w:rPr>
        <w:t>”</w:t>
      </w:r>
      <w:proofErr w:type="gramEnd"/>
      <w:r w:rsidR="008B77B0" w:rsidRPr="008B77B0">
        <w:rPr>
          <w:rFonts w:hint="eastAsia"/>
        </w:rPr>
        <w:t>和“非己”成分，从而破坏与排斥进入机体的有物质，相当于为计算机信息系统±</w:t>
      </w:r>
      <w:proofErr w:type="gramStart"/>
      <w:r w:rsidR="008B77B0" w:rsidRPr="008B77B0">
        <w:rPr>
          <w:rFonts w:hint="eastAsia"/>
        </w:rPr>
        <w:t>咅</w:t>
      </w:r>
      <w:proofErr w:type="gramEnd"/>
      <w:r w:rsidR="008B77B0" w:rsidRPr="008B77B0">
        <w:rPr>
          <w:rFonts w:hint="eastAsia"/>
        </w:rPr>
        <w:t>育了免疫能力</w:t>
      </w:r>
      <w:r w:rsidR="008B77B0">
        <w:rPr>
          <w:rFonts w:hint="eastAsia"/>
        </w:rPr>
        <w:t>。</w:t>
      </w:r>
    </w:p>
    <w:p w14:paraId="4FD1ACB7" w14:textId="62C5DC9D" w:rsidR="008B77B0" w:rsidRDefault="008B77B0" w:rsidP="008717B9">
      <w:pPr>
        <w:ind w:firstLine="480"/>
      </w:pPr>
      <w:r>
        <w:rPr>
          <w:noProof/>
        </w:rPr>
        <w:drawing>
          <wp:inline distT="0" distB="0" distL="0" distR="0" wp14:anchorId="5BAD4DD9" wp14:editId="22905D5E">
            <wp:extent cx="3457575" cy="3514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7575" cy="3514725"/>
                    </a:xfrm>
                    <a:prstGeom prst="rect">
                      <a:avLst/>
                    </a:prstGeom>
                  </pic:spPr>
                </pic:pic>
              </a:graphicData>
            </a:graphic>
          </wp:inline>
        </w:drawing>
      </w:r>
    </w:p>
    <w:p w14:paraId="4EE6BD9B" w14:textId="77777777" w:rsidR="008B77B0" w:rsidRDefault="008B77B0" w:rsidP="008B77B0">
      <w:pPr>
        <w:ind w:firstLine="480"/>
      </w:pPr>
      <w:r>
        <w:rPr>
          <w:rFonts w:hint="eastAsia"/>
        </w:rPr>
        <w:t>目前，可信计算已经成立国际组织TCG.</w:t>
      </w:r>
    </w:p>
    <w:p w14:paraId="6FB5D411" w14:textId="359E3876" w:rsidR="000E70D1" w:rsidRPr="00E32B10" w:rsidRDefault="008B77B0" w:rsidP="00E32B10">
      <w:pPr>
        <w:ind w:firstLine="480"/>
      </w:pPr>
      <w:r>
        <w:rPr>
          <w:rFonts w:hint="eastAsia"/>
        </w:rPr>
        <w:t>ＴＣＧ</w:t>
      </w:r>
      <w:r>
        <w:rPr>
          <w:rFonts w:hAnsi="宋体" w:hint="eastAsia"/>
        </w:rPr>
        <w:t>（</w:t>
      </w:r>
      <w:r>
        <w:rPr>
          <w:rFonts w:hint="eastAsia"/>
        </w:rPr>
        <w:t>Ｔｒｕｓｔｅｄ</w:t>
      </w:r>
      <w:r>
        <w:rPr>
          <w:rFonts w:ascii="DY3+ZIfA3D-3" w:eastAsia="DY3+ZIfA3D-3" w:cs="DY3+ZIfA3D-3" w:hint="eastAsia"/>
        </w:rPr>
        <w:t xml:space="preserve">　</w:t>
      </w:r>
      <w:r>
        <w:rPr>
          <w:rFonts w:hint="eastAsia"/>
        </w:rPr>
        <w:t>Ｃｏｍｐｕｔｉｎｇ</w:t>
      </w:r>
      <w:r>
        <w:rPr>
          <w:rFonts w:ascii="DY3+ZIfA3D-3" w:eastAsia="DY3+ZIfA3D-3" w:cs="DY3+ZIfA3D-3" w:hint="eastAsia"/>
        </w:rPr>
        <w:t xml:space="preserve">　</w:t>
      </w:r>
      <w:r>
        <w:rPr>
          <w:rFonts w:hint="eastAsia"/>
        </w:rPr>
        <w:t>Ｇｒｏｕｐ</w:t>
      </w:r>
      <w:r>
        <w:rPr>
          <w:rFonts w:hAnsi="宋体" w:hint="eastAsia"/>
        </w:rPr>
        <w:t>）</w:t>
      </w:r>
      <w:r>
        <w:rPr>
          <w:rFonts w:hint="eastAsia"/>
        </w:rPr>
        <w:t>将可信定义为</w:t>
      </w:r>
      <w:r>
        <w:rPr>
          <w:rFonts w:hAnsi="宋体" w:hint="eastAsia"/>
        </w:rPr>
        <w:t>：</w:t>
      </w:r>
      <w:r>
        <w:rPr>
          <w:rFonts w:hint="eastAsia"/>
        </w:rPr>
        <w:t>一个实体是可信的</w:t>
      </w:r>
      <w:r>
        <w:rPr>
          <w:rFonts w:hAnsi="宋体" w:hint="eastAsia"/>
        </w:rPr>
        <w:t>，</w:t>
      </w:r>
      <w:r>
        <w:rPr>
          <w:rFonts w:hint="eastAsia"/>
        </w:rPr>
        <w:t>如果它的行为总是以预期的方式</w:t>
      </w:r>
      <w:r>
        <w:rPr>
          <w:rFonts w:hAnsi="宋体" w:hint="eastAsia"/>
        </w:rPr>
        <w:t>，</w:t>
      </w:r>
      <w:r>
        <w:rPr>
          <w:rFonts w:hint="eastAsia"/>
        </w:rPr>
        <w:t>朝着预期的目标</w:t>
      </w:r>
      <w:r>
        <w:rPr>
          <w:rFonts w:hAnsi="宋体" w:hint="eastAsia"/>
        </w:rPr>
        <w:t>．ＴＣＧ</w:t>
      </w:r>
      <w:r>
        <w:rPr>
          <w:rFonts w:hint="eastAsia"/>
        </w:rPr>
        <w:t>的可信计算技术思路是通过在硬件平台上引入可信平台模块</w:t>
      </w:r>
      <w:r>
        <w:rPr>
          <w:rFonts w:hAnsi="宋体" w:hint="eastAsia"/>
        </w:rPr>
        <w:t>ＴＰＭ（</w:t>
      </w:r>
      <w:r>
        <w:rPr>
          <w:rFonts w:hint="eastAsia"/>
        </w:rPr>
        <w:t>ｔｒｕｓｔｅｄ</w:t>
      </w:r>
      <w:r>
        <w:rPr>
          <w:rFonts w:ascii="DY3+ZIfA3D-3" w:eastAsia="DY3+ZIfA3D-3" w:cs="DY3+ZIfA3D-3" w:hint="eastAsia"/>
        </w:rPr>
        <w:t xml:space="preserve">　</w:t>
      </w:r>
      <w:r>
        <w:rPr>
          <w:rFonts w:hint="eastAsia"/>
        </w:rPr>
        <w:t>ｐｌａｔｆｏｒｍ</w:t>
      </w:r>
      <w:r>
        <w:rPr>
          <w:rFonts w:ascii="DY3+ZIfA3D-3" w:eastAsia="DY3+ZIfA3D-3" w:cs="DY3+ZIfA3D-3" w:hint="eastAsia"/>
        </w:rPr>
        <w:t xml:space="preserve">　</w:t>
      </w:r>
      <w:r>
        <w:rPr>
          <w:rFonts w:hint="eastAsia"/>
        </w:rPr>
        <w:t>ｍｏｄｕｌｅ</w:t>
      </w:r>
      <w:r>
        <w:rPr>
          <w:rFonts w:hAnsi="宋体" w:hint="eastAsia"/>
        </w:rPr>
        <w:t>）</w:t>
      </w:r>
      <w:r>
        <w:rPr>
          <w:rFonts w:hint="eastAsia"/>
        </w:rPr>
        <w:t>来提高计算机系统的安全性</w:t>
      </w:r>
      <w:r>
        <w:rPr>
          <w:rFonts w:hAnsi="宋体" w:hint="eastAsia"/>
        </w:rPr>
        <w:t>，</w:t>
      </w:r>
      <w:r>
        <w:rPr>
          <w:rFonts w:hint="eastAsia"/>
        </w:rPr>
        <w:t>这种技术思路目前得到了产业界的普遍认同</w:t>
      </w:r>
      <w:r>
        <w:rPr>
          <w:rFonts w:hAnsi="宋体" w:hint="eastAsia"/>
        </w:rPr>
        <w:t>．</w:t>
      </w:r>
      <w:r>
        <w:rPr>
          <w:rFonts w:hint="eastAsia"/>
        </w:rPr>
        <w:t>我们的思路与</w:t>
      </w:r>
      <w:r>
        <w:rPr>
          <w:rFonts w:hAnsi="宋体" w:hint="eastAsia"/>
        </w:rPr>
        <w:t>ＴＣＧ</w:t>
      </w:r>
      <w:r>
        <w:rPr>
          <w:rFonts w:hint="eastAsia"/>
        </w:rPr>
        <w:t>类似</w:t>
      </w:r>
      <w:r>
        <w:rPr>
          <w:rFonts w:hAnsi="宋体" w:hint="eastAsia"/>
        </w:rPr>
        <w:t>，</w:t>
      </w:r>
      <w:r>
        <w:rPr>
          <w:rFonts w:hint="eastAsia"/>
        </w:rPr>
        <w:t>认为可信</w:t>
      </w:r>
      <w:r>
        <w:rPr>
          <w:rFonts w:hint="eastAsia"/>
        </w:rPr>
        <w:lastRenderedPageBreak/>
        <w:t>是指以安全芯片为基础</w:t>
      </w:r>
      <w:r>
        <w:rPr>
          <w:rFonts w:hAnsi="宋体" w:hint="eastAsia"/>
        </w:rPr>
        <w:t>，</w:t>
      </w:r>
      <w:r>
        <w:rPr>
          <w:rFonts w:hint="eastAsia"/>
        </w:rPr>
        <w:t>建立可信的计算环境</w:t>
      </w:r>
      <w:r>
        <w:rPr>
          <w:rFonts w:hAnsi="宋体" w:hint="eastAsia"/>
        </w:rPr>
        <w:t>，</w:t>
      </w:r>
      <w:r>
        <w:rPr>
          <w:rFonts w:hint="eastAsia"/>
        </w:rPr>
        <w:t>确保系统实体按照预期的行为执行</w:t>
      </w:r>
      <w:r>
        <w:rPr>
          <w:rFonts w:hAnsi="宋体" w:hint="eastAsia"/>
        </w:rPr>
        <w:t>．</w:t>
      </w:r>
    </w:p>
    <w:p w14:paraId="30C128C7" w14:textId="0855531F" w:rsidR="00C161D2" w:rsidRDefault="00C161D2" w:rsidP="00474996">
      <w:pPr>
        <w:pStyle w:val="2"/>
      </w:pPr>
      <w:r w:rsidRPr="005560CB">
        <w:rPr>
          <w:rFonts w:hint="eastAsia"/>
        </w:rPr>
        <w:t>国内外研究进展</w:t>
      </w:r>
    </w:p>
    <w:p w14:paraId="5A312713" w14:textId="77777777" w:rsidR="00041919" w:rsidRDefault="00041919" w:rsidP="007D10FC">
      <w:pPr>
        <w:pStyle w:val="a6"/>
        <w:ind w:firstLine="480"/>
      </w:pPr>
      <w:r>
        <w:rPr>
          <w:rFonts w:hint="eastAsia"/>
        </w:rPr>
        <w:t>可信计算的基本思想是</w:t>
      </w:r>
    </w:p>
    <w:p w14:paraId="2AB4E10A" w14:textId="77777777" w:rsidR="00041919" w:rsidRDefault="00041919" w:rsidP="007D10FC">
      <w:pPr>
        <w:pStyle w:val="a6"/>
        <w:ind w:firstLine="480"/>
      </w:pPr>
      <w:r>
        <w:rPr>
          <w:rFonts w:hint="eastAsia"/>
        </w:rPr>
        <w:t>1、首先计算机系统建立一个信任根，信任根的可信性由物理安全、技术安全、和管理安全共同确保。</w:t>
      </w:r>
    </w:p>
    <w:p w14:paraId="782A0E00" w14:textId="34B8EA8A" w:rsidR="00041919" w:rsidRDefault="00041919" w:rsidP="007D10FC">
      <w:pPr>
        <w:pStyle w:val="a6"/>
        <w:ind w:firstLine="480"/>
      </w:pPr>
      <w:r>
        <w:rPr>
          <w:rFonts w:hint="eastAsia"/>
        </w:rPr>
        <w:t>2、再建立一条信任链，从根开始到硬件平台</w:t>
      </w:r>
      <w:r w:rsidRPr="00144BFB">
        <w:rPr>
          <w:rFonts w:ascii="B4+CAJSymbolA" w:eastAsia="B4+CAJSymbolA" w:cs="B4+CAJSymbolA"/>
        </w:rPr>
        <w:t xml:space="preserve">, </w:t>
      </w:r>
      <w:proofErr w:type="gramStart"/>
      <w:r w:rsidR="007D10FC">
        <w:rPr>
          <w:rFonts w:hint="eastAsia"/>
        </w:rPr>
        <w:t>到操系</w:t>
      </w:r>
      <w:proofErr w:type="gramEnd"/>
      <w:r w:rsidRPr="00144BFB">
        <w:rPr>
          <w:rFonts w:ascii="B4+CAJSymbolA" w:eastAsia="B4+CAJSymbolA" w:cs="B4+CAJSymbolA"/>
        </w:rPr>
        <w:t>,</w:t>
      </w:r>
      <w:r>
        <w:t>到软件系统，到应用</w:t>
      </w:r>
      <w:r>
        <w:rPr>
          <w:rFonts w:hint="eastAsia"/>
        </w:rPr>
        <w:t>体系，到可信网络，逐步建立信任级</w:t>
      </w:r>
      <w:r w:rsidRPr="00144BFB">
        <w:rPr>
          <w:rFonts w:ascii="B4+CAJSymbolA" w:eastAsia="B4+CAJSymbolA" w:cs="B4+CAJSymbolA"/>
        </w:rPr>
        <w:t xml:space="preserve">, </w:t>
      </w:r>
      <w:r>
        <w:rPr>
          <w:rFonts w:hint="eastAsia"/>
        </w:rPr>
        <w:t>把信任扩展到整个计算机系统</w:t>
      </w:r>
      <w:r w:rsidRPr="00144BFB">
        <w:rPr>
          <w:rFonts w:ascii="B4+CAJSymbolA" w:eastAsia="B4+CAJSymbolA" w:cs="B4+CAJSymbolA"/>
        </w:rPr>
        <w:t xml:space="preserve">, </w:t>
      </w:r>
      <w:r>
        <w:rPr>
          <w:rFonts w:hint="eastAsia"/>
        </w:rPr>
        <w:t>从而确保整个计算机系统的可信，信任链如图所示</w:t>
      </w:r>
    </w:p>
    <w:p w14:paraId="0068203F" w14:textId="77777777" w:rsidR="00041919" w:rsidRDefault="00041919" w:rsidP="00041919">
      <w:pPr>
        <w:keepNext/>
        <w:ind w:firstLine="480"/>
      </w:pPr>
      <w:r>
        <w:rPr>
          <w:noProof/>
        </w:rPr>
        <w:drawing>
          <wp:inline distT="0" distB="0" distL="0" distR="0" wp14:anchorId="2A6D56EA" wp14:editId="3FAC1C69">
            <wp:extent cx="45910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2209800"/>
                    </a:xfrm>
                    <a:prstGeom prst="rect">
                      <a:avLst/>
                    </a:prstGeom>
                  </pic:spPr>
                </pic:pic>
              </a:graphicData>
            </a:graphic>
          </wp:inline>
        </w:drawing>
      </w:r>
    </w:p>
    <w:p w14:paraId="35A9C94F" w14:textId="77777777" w:rsidR="00041919" w:rsidRDefault="00041919" w:rsidP="00041919">
      <w:pPr>
        <w:pStyle w:val="a7"/>
        <w:ind w:firstLine="400"/>
        <w:jc w:val="center"/>
      </w:pPr>
      <w:r>
        <w:t xml:space="preserve">Figure </w:t>
      </w:r>
      <w:fldSimple w:instr=" SEQ Figure \* ARABIC ">
        <w:r>
          <w:rPr>
            <w:noProof/>
          </w:rPr>
          <w:t>1</w:t>
        </w:r>
      </w:fldSimple>
      <w:r>
        <w:rPr>
          <w:rFonts w:hint="eastAsia"/>
        </w:rPr>
        <w:t xml:space="preserve"> </w:t>
      </w:r>
      <w:r>
        <w:rPr>
          <w:rFonts w:hint="eastAsia"/>
        </w:rPr>
        <w:t>信任链</w:t>
      </w:r>
    </w:p>
    <w:p w14:paraId="4D9CACEC" w14:textId="77777777" w:rsidR="00041919" w:rsidRDefault="00041919" w:rsidP="00041919">
      <w:pPr>
        <w:pStyle w:val="3"/>
      </w:pPr>
      <w:r>
        <w:rPr>
          <w:rFonts w:hint="eastAsia"/>
        </w:rPr>
        <w:t>可信根和可信链</w:t>
      </w:r>
    </w:p>
    <w:p w14:paraId="0EA2BE11" w14:textId="77777777" w:rsidR="00041919" w:rsidRDefault="00041919" w:rsidP="007D10FC">
      <w:pPr>
        <w:pStyle w:val="a6"/>
        <w:ind w:firstLine="480"/>
      </w:pPr>
      <w:r>
        <w:rPr>
          <w:rFonts w:hint="eastAsia"/>
        </w:rPr>
        <w:t>可信根是可信计算的基础，为保证可信，必须先建立一个最初的可信根。</w:t>
      </w:r>
    </w:p>
    <w:p w14:paraId="14624DF9" w14:textId="77777777" w:rsidR="00041919" w:rsidRDefault="00041919" w:rsidP="007D10FC">
      <w:pPr>
        <w:pStyle w:val="a6"/>
        <w:ind w:firstLine="480"/>
      </w:pPr>
      <w:r>
        <w:rPr>
          <w:rFonts w:hint="eastAsia"/>
        </w:rPr>
        <w:t>可信根应该满足几个要求：</w:t>
      </w:r>
    </w:p>
    <w:p w14:paraId="1A55FAFD" w14:textId="77777777" w:rsidR="00041919" w:rsidRDefault="00041919" w:rsidP="00041919">
      <w:pPr>
        <w:pStyle w:val="a0"/>
        <w:numPr>
          <w:ilvl w:val="0"/>
          <w:numId w:val="12"/>
        </w:numPr>
        <w:ind w:firstLineChars="0"/>
      </w:pPr>
      <w:r>
        <w:rPr>
          <w:rFonts w:hint="eastAsia"/>
        </w:rPr>
        <w:t>可信根应该具有密码服务功能。</w:t>
      </w:r>
    </w:p>
    <w:p w14:paraId="6F8A71DB" w14:textId="77777777" w:rsidR="00041919" w:rsidRDefault="00041919" w:rsidP="00041919">
      <w:pPr>
        <w:pStyle w:val="a0"/>
        <w:numPr>
          <w:ilvl w:val="0"/>
          <w:numId w:val="12"/>
        </w:numPr>
        <w:ind w:firstLineChars="0"/>
      </w:pPr>
      <w:r>
        <w:rPr>
          <w:rFonts w:hint="eastAsia"/>
        </w:rPr>
        <w:t>可信</w:t>
      </w:r>
      <w:proofErr w:type="gramStart"/>
      <w:r>
        <w:rPr>
          <w:rFonts w:hint="eastAsia"/>
        </w:rPr>
        <w:t>根具备</w:t>
      </w:r>
      <w:proofErr w:type="gramEnd"/>
      <w:r>
        <w:rPr>
          <w:rFonts w:hint="eastAsia"/>
        </w:rPr>
        <w:t>对系统启动过程的度量能力。</w:t>
      </w:r>
    </w:p>
    <w:p w14:paraId="2D3ED65F" w14:textId="77777777" w:rsidR="00041919" w:rsidRDefault="00041919" w:rsidP="00041919">
      <w:pPr>
        <w:pStyle w:val="a0"/>
        <w:numPr>
          <w:ilvl w:val="0"/>
          <w:numId w:val="12"/>
        </w:numPr>
        <w:ind w:firstLineChars="0"/>
      </w:pPr>
      <w:r>
        <w:rPr>
          <w:rFonts w:hint="eastAsia"/>
        </w:rPr>
        <w:t>可信</w:t>
      </w:r>
      <w:proofErr w:type="gramStart"/>
      <w:r>
        <w:rPr>
          <w:rFonts w:hint="eastAsia"/>
        </w:rPr>
        <w:t>根具备</w:t>
      </w:r>
      <w:proofErr w:type="gramEnd"/>
      <w:r>
        <w:rPr>
          <w:rFonts w:hint="eastAsia"/>
        </w:rPr>
        <w:t>对系统启动过程的控制能力</w:t>
      </w:r>
    </w:p>
    <w:p w14:paraId="5EB2BF12" w14:textId="77777777" w:rsidR="00041919" w:rsidRDefault="00041919" w:rsidP="00041919">
      <w:pPr>
        <w:pStyle w:val="a0"/>
        <w:numPr>
          <w:ilvl w:val="0"/>
          <w:numId w:val="12"/>
        </w:numPr>
        <w:ind w:firstLineChars="0"/>
      </w:pPr>
      <w:r>
        <w:rPr>
          <w:rFonts w:hint="eastAsia"/>
        </w:rPr>
        <w:t>可信根优先于其他部分启动。</w:t>
      </w:r>
    </w:p>
    <w:p w14:paraId="0A58F719" w14:textId="77777777" w:rsidR="00041919" w:rsidRDefault="00041919" w:rsidP="00041919">
      <w:pPr>
        <w:ind w:firstLine="480"/>
      </w:pPr>
      <w:r>
        <w:rPr>
          <w:rFonts w:hint="eastAsia"/>
        </w:rPr>
        <w:t>可信2.0框架由可信平台模块（TPM）以及度量代码段（CRTM）组成。其结构如图所示。</w:t>
      </w:r>
    </w:p>
    <w:p w14:paraId="120C4098" w14:textId="77777777" w:rsidR="00041919" w:rsidRDefault="00041919" w:rsidP="00041919">
      <w:pPr>
        <w:keepNext/>
        <w:ind w:firstLine="480"/>
      </w:pPr>
      <w:r>
        <w:rPr>
          <w:noProof/>
        </w:rPr>
        <w:lastRenderedPageBreak/>
        <w:drawing>
          <wp:inline distT="0" distB="0" distL="0" distR="0" wp14:anchorId="48CAB3F9" wp14:editId="23672A68">
            <wp:extent cx="5274310" cy="3496547"/>
            <wp:effectExtent l="0" t="0" r="2540" b="8890"/>
            <wp:docPr id="5" name="图片 5" descr="D:\创新中心技术文档\图例\TPM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创新中心技术文档\图例\TPM结构.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96547"/>
                    </a:xfrm>
                    <a:prstGeom prst="rect">
                      <a:avLst/>
                    </a:prstGeom>
                    <a:noFill/>
                    <a:ln>
                      <a:noFill/>
                    </a:ln>
                  </pic:spPr>
                </pic:pic>
              </a:graphicData>
            </a:graphic>
          </wp:inline>
        </w:drawing>
      </w:r>
    </w:p>
    <w:p w14:paraId="7B16B7C5" w14:textId="77777777" w:rsidR="00041919" w:rsidRDefault="00041919" w:rsidP="00041919">
      <w:pPr>
        <w:pStyle w:val="a7"/>
        <w:ind w:firstLine="400"/>
      </w:pPr>
      <w:r>
        <w:t xml:space="preserve">Figure </w:t>
      </w:r>
      <w:fldSimple w:instr=" SEQ Figure \* ARABIC ">
        <w:r>
          <w:rPr>
            <w:noProof/>
          </w:rPr>
          <w:t>2</w:t>
        </w:r>
      </w:fldSimple>
      <w:r>
        <w:rPr>
          <w:rFonts w:hint="eastAsia"/>
        </w:rPr>
        <w:t>TPM</w:t>
      </w:r>
      <w:r>
        <w:rPr>
          <w:rFonts w:hint="eastAsia"/>
        </w:rPr>
        <w:t>结构</w:t>
      </w:r>
    </w:p>
    <w:p w14:paraId="3194F561" w14:textId="77777777" w:rsidR="00041919" w:rsidRDefault="00041919" w:rsidP="00041919">
      <w:pPr>
        <w:ind w:firstLine="480"/>
      </w:pPr>
      <w:r>
        <w:rPr>
          <w:rFonts w:hint="eastAsia"/>
        </w:rPr>
        <w:t>可信3.0提出以可信平台控制模块(TPCM)作为系统可信根。由可信密码模块（TCM）和平台控制机制组成。</w:t>
      </w:r>
    </w:p>
    <w:p w14:paraId="3A966AF9" w14:textId="77777777" w:rsidR="00041919" w:rsidRDefault="00041919" w:rsidP="00041919">
      <w:pPr>
        <w:keepNext/>
        <w:ind w:firstLine="480"/>
      </w:pPr>
      <w:r>
        <w:rPr>
          <w:noProof/>
        </w:rPr>
        <w:drawing>
          <wp:inline distT="0" distB="0" distL="0" distR="0" wp14:anchorId="47D28E2E" wp14:editId="73A54F9A">
            <wp:extent cx="5274310" cy="1885634"/>
            <wp:effectExtent l="0" t="0" r="2540" b="635"/>
            <wp:docPr id="7" name="图片 7" descr="https://timgsa.baidu.com/timg?image&amp;quality=80&amp;size=b9999_10000&amp;sec=1591092397760&amp;di=3d1fb127a99eb44909fd02d7759b1a9e&amp;imgtype=0&amp;src=http%3A%2F%2Fimg.jigao616.com%2Fupload%2Fpatent%2F2017%2F12%2F28%2F1245385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91092397760&amp;di=3d1fb127a99eb44909fd02d7759b1a9e&amp;imgtype=0&amp;src=http%3A%2F%2Fimg.jigao616.com%2Fupload%2Fpatent%2F2017%2F12%2F28%2F12453857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5634"/>
                    </a:xfrm>
                    <a:prstGeom prst="rect">
                      <a:avLst/>
                    </a:prstGeom>
                    <a:noFill/>
                    <a:ln>
                      <a:noFill/>
                    </a:ln>
                  </pic:spPr>
                </pic:pic>
              </a:graphicData>
            </a:graphic>
          </wp:inline>
        </w:drawing>
      </w:r>
    </w:p>
    <w:p w14:paraId="3792990A" w14:textId="77777777" w:rsidR="00041919" w:rsidRDefault="00041919" w:rsidP="00041919">
      <w:pPr>
        <w:pStyle w:val="a7"/>
        <w:ind w:firstLine="400"/>
        <w:jc w:val="center"/>
      </w:pPr>
      <w:r>
        <w:t xml:space="preserve">Figure </w:t>
      </w:r>
      <w:fldSimple w:instr=" SEQ Figure \* ARABIC ">
        <w:r>
          <w:rPr>
            <w:noProof/>
          </w:rPr>
          <w:t>3</w:t>
        </w:r>
      </w:fldSimple>
      <w:r>
        <w:rPr>
          <w:rFonts w:hint="eastAsia"/>
        </w:rPr>
        <w:t xml:space="preserve"> </w:t>
      </w:r>
      <w:r>
        <w:rPr>
          <w:rFonts w:hint="eastAsia"/>
        </w:rPr>
        <w:t>可信平台控制模块（</w:t>
      </w:r>
      <w:r>
        <w:rPr>
          <w:rFonts w:hint="eastAsia"/>
        </w:rPr>
        <w:t>TPCM</w:t>
      </w:r>
      <w:r>
        <w:rPr>
          <w:rFonts w:hint="eastAsia"/>
        </w:rPr>
        <w:t>）示意图</w:t>
      </w:r>
    </w:p>
    <w:p w14:paraId="0E05F285" w14:textId="77777777" w:rsidR="00041919" w:rsidRDefault="00041919" w:rsidP="00041919">
      <w:pPr>
        <w:ind w:firstLine="480"/>
      </w:pPr>
      <w:r>
        <w:rPr>
          <w:rFonts w:hint="eastAsia"/>
        </w:rPr>
        <w:t>TPMCM先于 CPU启动，通过平台控制功能获取系统的控制权，并对系统进行可信度量，只有度量通过后，将控制权开发给系统。</w:t>
      </w:r>
    </w:p>
    <w:p w14:paraId="1535A2A6" w14:textId="77777777" w:rsidR="00041919" w:rsidRDefault="00041919" w:rsidP="00041919">
      <w:pPr>
        <w:keepNext/>
        <w:ind w:firstLine="480"/>
        <w:jc w:val="center"/>
      </w:pPr>
      <w:r>
        <w:rPr>
          <w:noProof/>
        </w:rPr>
        <w:lastRenderedPageBreak/>
        <w:drawing>
          <wp:inline distT="0" distB="0" distL="0" distR="0" wp14:anchorId="27EBBF6F" wp14:editId="1A1BBBCD">
            <wp:extent cx="4305300" cy="6381750"/>
            <wp:effectExtent l="0" t="0" r="0" b="0"/>
            <wp:docPr id="6" name="图片 6" descr="https://timgsa.baidu.com/timg?image&amp;quality=80&amp;size=b9999_10000&amp;sec=1591092200778&amp;di=92fcf560517a09f96867b70849c44ed5&amp;imgtype=0&amp;src=http%3A%2F%2Fpic.cnipr.com%3A8080%2FXmlData%2FFM%2F20090909%2F200780038698.4%2F2007800386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91092200778&amp;di=92fcf560517a09f96867b70849c44ed5&amp;imgtype=0&amp;src=http%3A%2F%2Fpic.cnipr.com%3A8080%2FXmlData%2FFM%2F20090909%2F200780038698.4%2F200780038698.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5300" cy="6381750"/>
                    </a:xfrm>
                    <a:prstGeom prst="rect">
                      <a:avLst/>
                    </a:prstGeom>
                    <a:noFill/>
                    <a:ln>
                      <a:noFill/>
                    </a:ln>
                  </pic:spPr>
                </pic:pic>
              </a:graphicData>
            </a:graphic>
          </wp:inline>
        </w:drawing>
      </w:r>
    </w:p>
    <w:p w14:paraId="45AD74F9" w14:textId="59924FD2" w:rsidR="00041919" w:rsidRDefault="00041919" w:rsidP="00041919">
      <w:pPr>
        <w:pStyle w:val="a7"/>
        <w:ind w:firstLine="400"/>
        <w:jc w:val="center"/>
      </w:pPr>
      <w:r>
        <w:t xml:space="preserve">Figure </w:t>
      </w:r>
      <w:fldSimple w:instr=" SEQ Figure \* ARABIC ">
        <w:r>
          <w:rPr>
            <w:noProof/>
          </w:rPr>
          <w:t>4</w:t>
        </w:r>
      </w:fldSimple>
      <w:r>
        <w:t>可信计算系统启动示意图</w:t>
      </w:r>
    </w:p>
    <w:p w14:paraId="7B0DC450" w14:textId="3806380D" w:rsidR="00041919" w:rsidRDefault="007D10FC" w:rsidP="007D10FC">
      <w:pPr>
        <w:pStyle w:val="3"/>
      </w:pPr>
      <w:r>
        <w:rPr>
          <w:rFonts w:hint="eastAsia"/>
        </w:rPr>
        <w:t>可信存储</w:t>
      </w:r>
    </w:p>
    <w:p w14:paraId="2AA0D30E" w14:textId="77777777" w:rsidR="007D10FC" w:rsidRDefault="007D10FC" w:rsidP="007D10FC">
      <w:pPr>
        <w:ind w:firstLine="480"/>
      </w:pPr>
      <w:r>
        <w:rPr>
          <w:rFonts w:hint="eastAsia"/>
        </w:rPr>
        <w:t>TCG于2007年5月推出了TCG的存储体系结构核心规范。技术来源于细节</w:t>
      </w:r>
      <w:proofErr w:type="spellStart"/>
      <w:r>
        <w:rPr>
          <w:rFonts w:hint="eastAsia"/>
        </w:rPr>
        <w:t>DriveTrust</w:t>
      </w:r>
      <w:proofErr w:type="spellEnd"/>
      <w:r>
        <w:rPr>
          <w:rFonts w:hint="eastAsia"/>
        </w:rPr>
        <w:t>技术。</w:t>
      </w:r>
    </w:p>
    <w:p w14:paraId="76CD7B5A" w14:textId="77777777" w:rsidR="007D10FC" w:rsidRDefault="007D10FC" w:rsidP="007D10FC">
      <w:pPr>
        <w:ind w:firstLine="480"/>
      </w:pPr>
      <w:proofErr w:type="spellStart"/>
      <w:r>
        <w:rPr>
          <w:rFonts w:hint="eastAsia"/>
        </w:rPr>
        <w:t>DriveTrust</w:t>
      </w:r>
      <w:proofErr w:type="spellEnd"/>
      <w:r>
        <w:rPr>
          <w:rFonts w:hint="eastAsia"/>
        </w:rPr>
        <w:t xml:space="preserve"> 技术利用硬盘的封闭计算环境，定义基于硬件安全功能的</w:t>
      </w:r>
      <w:proofErr w:type="gramStart"/>
      <w:r>
        <w:rPr>
          <w:rFonts w:hint="eastAsia"/>
        </w:rPr>
        <w:t>硬盘级</w:t>
      </w:r>
      <w:proofErr w:type="gramEnd"/>
      <w:r>
        <w:rPr>
          <w:rFonts w:hint="eastAsia"/>
        </w:rPr>
        <w:t>平台。该技术认为虽然操作系统专门设计用来支持各种应用程序，但硬盘是运行专用代码(固件)管理硬盘功能的封闭存储环境。因为其内部操作与计算系统的</w:t>
      </w:r>
      <w:r>
        <w:rPr>
          <w:rFonts w:hint="eastAsia"/>
        </w:rPr>
        <w:lastRenderedPageBreak/>
        <w:t>其他组件相隔离，故硬盘是实现数据安全功能的理想位置。该技术认为</w:t>
      </w:r>
      <w:proofErr w:type="spellStart"/>
      <w:r>
        <w:rPr>
          <w:rFonts w:hint="eastAsia"/>
        </w:rPr>
        <w:t>DriveTrust</w:t>
      </w:r>
      <w:proofErr w:type="spellEnd"/>
      <w:r>
        <w:rPr>
          <w:rFonts w:hint="eastAsia"/>
        </w:rPr>
        <w:t xml:space="preserve"> 平台不仅仅能够保护磁盘上存储的数据，该平台还在主机与硬盘之间建立对所发送数据的信任，并使硬盘能够对应用程序进行验证、分配安全存储分区、处理数字签名并提供多种其他安全功能 </w:t>
      </w:r>
    </w:p>
    <w:p w14:paraId="44021F89" w14:textId="77777777" w:rsidR="007D10FC" w:rsidRDefault="007D10FC" w:rsidP="007D10FC">
      <w:pPr>
        <w:ind w:firstLine="480"/>
      </w:pPr>
      <w:r>
        <w:rPr>
          <w:rFonts w:hint="eastAsia"/>
        </w:rPr>
        <w:t xml:space="preserve">Drive Trust 技术包含四个元素： </w:t>
      </w:r>
    </w:p>
    <w:p w14:paraId="20809D91" w14:textId="77777777" w:rsidR="007D10FC" w:rsidRDefault="007D10FC" w:rsidP="007D10FC">
      <w:pPr>
        <w:ind w:firstLine="480"/>
      </w:pPr>
      <w:r>
        <w:rPr>
          <w:rFonts w:hint="eastAsia"/>
        </w:rPr>
        <w:t>（1）增强型固件和硬件：固件是在硬盘内部计算机中运行的软件；通常，固件用于管理极为复杂的硬盘功能，如移动读取/写入磁头、跟踪磁盘上的坏扇区以及存储数据位置的位图。</w:t>
      </w:r>
      <w:proofErr w:type="spellStart"/>
      <w:r>
        <w:rPr>
          <w:rFonts w:hint="eastAsia"/>
        </w:rPr>
        <w:t>DriveTrust</w:t>
      </w:r>
      <w:proofErr w:type="spellEnd"/>
      <w:r>
        <w:rPr>
          <w:rFonts w:hint="eastAsia"/>
        </w:rPr>
        <w:t xml:space="preserve"> 技术添加优化硬盘存储资源的其他安全代码，扩展了硬盘的功能。</w:t>
      </w:r>
      <w:proofErr w:type="spellStart"/>
      <w:r>
        <w:rPr>
          <w:rFonts w:hint="eastAsia"/>
        </w:rPr>
        <w:t>DriveTrust</w:t>
      </w:r>
      <w:proofErr w:type="spellEnd"/>
      <w:r>
        <w:rPr>
          <w:rFonts w:hint="eastAsia"/>
        </w:rPr>
        <w:t xml:space="preserve"> 技术在硬盘中实现加密服务，它提供加密、散列、安全存储、解密、数字签名和随机数字生成等功能。 </w:t>
      </w:r>
    </w:p>
    <w:p w14:paraId="01299281" w14:textId="77777777" w:rsidR="007D10FC" w:rsidRDefault="007D10FC" w:rsidP="007D10FC">
      <w:pPr>
        <w:ind w:firstLine="480"/>
      </w:pPr>
      <w:r>
        <w:rPr>
          <w:rFonts w:hint="eastAsia"/>
        </w:rPr>
        <w:t>（2）可信发送/接收命令集：可信存储需要安全的通信基础架构。Drive Trust通信通过可信发送/接收（出/入）命令集发送。该命令</w:t>
      </w:r>
      <w:proofErr w:type="gramStart"/>
      <w:r>
        <w:rPr>
          <w:rFonts w:hint="eastAsia"/>
        </w:rPr>
        <w:t>集用于</w:t>
      </w:r>
      <w:proofErr w:type="gramEnd"/>
      <w:r>
        <w:rPr>
          <w:rFonts w:hint="eastAsia"/>
        </w:rPr>
        <w:t xml:space="preserve">协调定义 ATA 和SCSI 接口的标准组织。ATA 和 SCSI 接口协议中包括安全消息传递的内容，以支持包括 </w:t>
      </w:r>
      <w:proofErr w:type="spellStart"/>
      <w:r>
        <w:rPr>
          <w:rFonts w:hint="eastAsia"/>
        </w:rPr>
        <w:t>DriveTrust</w:t>
      </w:r>
      <w:proofErr w:type="spellEnd"/>
      <w:r>
        <w:rPr>
          <w:rFonts w:hint="eastAsia"/>
        </w:rPr>
        <w:t xml:space="preserve">  技术在内的安全技术支持。 </w:t>
      </w:r>
    </w:p>
    <w:p w14:paraId="32E615A3" w14:textId="77777777" w:rsidR="007D10FC" w:rsidRDefault="007D10FC" w:rsidP="007D10FC">
      <w:pPr>
        <w:ind w:firstLine="480"/>
      </w:pPr>
      <w:r>
        <w:rPr>
          <w:rFonts w:hint="eastAsia"/>
        </w:rPr>
        <w:t xml:space="preserve">（3）安全分区：200GB 的硬盘保留约 200MB 不可寻址空间，用于内部系统内存。Drive Trust 技术使用此空间创建安全分区，该分区在逻辑上和物理上均与硬盘存储的其余部分相独立，使用有效的条件访问控制，所以该安全分区也是存储加密密钥的最佳位置。如果硬盘采用 </w:t>
      </w:r>
      <w:proofErr w:type="spellStart"/>
      <w:r>
        <w:rPr>
          <w:rFonts w:hint="eastAsia"/>
        </w:rPr>
        <w:t>DriveTrust</w:t>
      </w:r>
      <w:proofErr w:type="spellEnd"/>
      <w:r>
        <w:rPr>
          <w:rFonts w:hint="eastAsia"/>
        </w:rPr>
        <w:t xml:space="preserve"> 技术，则只有提供正确凭证的应用程序能够访问上述安全分区，并在其中存储应用程序代码、其他内容或数据。ISV（Independent Software Vendors  的英文缩写，意为“独立软件开发商）可利用该功能构建具有其他功能的应用程序，如增强的身份验证、时间戳、对比日志记录或事务数据。 </w:t>
      </w:r>
    </w:p>
    <w:p w14:paraId="3FD8DF97" w14:textId="77777777" w:rsidR="007D10FC" w:rsidRDefault="007D10FC" w:rsidP="007D10FC">
      <w:pPr>
        <w:ind w:firstLine="480"/>
      </w:pPr>
      <w:r>
        <w:rPr>
          <w:rFonts w:hint="eastAsia"/>
        </w:rPr>
        <w:t xml:space="preserve">（4）隔离协议：软件应用程序、基本输入/输出系统和其他程序均可通过严格控制的通信渠道与应用 </w:t>
      </w:r>
      <w:proofErr w:type="spellStart"/>
      <w:r>
        <w:rPr>
          <w:rFonts w:hint="eastAsia"/>
        </w:rPr>
        <w:t>DriveTrust</w:t>
      </w:r>
      <w:proofErr w:type="spellEnd"/>
      <w:r>
        <w:rPr>
          <w:rFonts w:hint="eastAsia"/>
        </w:rPr>
        <w:t xml:space="preserve"> 技术的硬盘互操作。ISV 和其他开发商可以编写应用程序，并通过隔离协议将它们分配给硬盘中的安全分区。如果应用程序尝试访问这些安全分区，则必须向硬盘的管理员功能模块提供根据管理协议分配的凭证。管理员功能模块对应用程序进行验证，激活相应的安全分区，从而允许该应用程序通过可信发送/接收命令集与安全分区交互。</w:t>
      </w:r>
    </w:p>
    <w:p w14:paraId="7E066CDF" w14:textId="77777777" w:rsidR="007D10FC" w:rsidRDefault="007D10FC" w:rsidP="007D10FC">
      <w:pPr>
        <w:ind w:firstLine="480"/>
      </w:pPr>
      <w:r>
        <w:rPr>
          <w:rFonts w:hint="eastAsia"/>
        </w:rPr>
        <w:t>可信存储的可信源头来源于可信根中的存储根密钥（SRK）。它存放于内部，</w:t>
      </w:r>
      <w:r>
        <w:rPr>
          <w:rFonts w:hint="eastAsia"/>
        </w:rPr>
        <w:lastRenderedPageBreak/>
        <w:t>永远不对外暴露。</w:t>
      </w:r>
    </w:p>
    <w:p w14:paraId="578B9468" w14:textId="77777777" w:rsidR="007D10FC" w:rsidRDefault="007D10FC" w:rsidP="007D10FC">
      <w:pPr>
        <w:keepNext/>
        <w:ind w:firstLine="480"/>
      </w:pPr>
      <w:r>
        <w:rPr>
          <w:noProof/>
        </w:rPr>
        <w:drawing>
          <wp:inline distT="0" distB="0" distL="0" distR="0" wp14:anchorId="62ED9F80" wp14:editId="510CD4C7">
            <wp:extent cx="5274310" cy="2573863"/>
            <wp:effectExtent l="0" t="0" r="2540" b="0"/>
            <wp:docPr id="8" name="图片 8" descr="https://timgsa.baidu.com/timg?image&amp;quality=80&amp;size=b9999_10000&amp;sec=1591092920495&amp;di=a902935b6653fca653c61b6d09dea5fb&amp;imgtype=0&amp;src=http%3A%2F%2Fimg.jigao616.com%2Fupload%2Fpatent%2F2018%2F6%2F20%2F1329227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91092920495&amp;di=a902935b6653fca653c61b6d09dea5fb&amp;imgtype=0&amp;src=http%3A%2F%2Fimg.jigao616.com%2Fupload%2Fpatent%2F2018%2F6%2F20%2F13292279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73863"/>
                    </a:xfrm>
                    <a:prstGeom prst="rect">
                      <a:avLst/>
                    </a:prstGeom>
                    <a:noFill/>
                    <a:ln>
                      <a:noFill/>
                    </a:ln>
                  </pic:spPr>
                </pic:pic>
              </a:graphicData>
            </a:graphic>
          </wp:inline>
        </w:drawing>
      </w:r>
    </w:p>
    <w:p w14:paraId="20C93B1E" w14:textId="77777777" w:rsidR="007D10FC" w:rsidRDefault="007D10FC" w:rsidP="007D10FC">
      <w:pPr>
        <w:pStyle w:val="a7"/>
        <w:ind w:firstLine="400"/>
      </w:pPr>
      <w:r>
        <w:t xml:space="preserve">Figure </w:t>
      </w:r>
      <w:fldSimple w:instr=" SEQ Figure \* ARABIC ">
        <w:r>
          <w:rPr>
            <w:noProof/>
          </w:rPr>
          <w:t>5</w:t>
        </w:r>
      </w:fldSimple>
      <w:r>
        <w:rPr>
          <w:rFonts w:hint="eastAsia"/>
        </w:rPr>
        <w:t xml:space="preserve"> </w:t>
      </w:r>
      <w:r>
        <w:rPr>
          <w:rFonts w:hint="eastAsia"/>
        </w:rPr>
        <w:t>密钥可信存储示意图</w:t>
      </w:r>
    </w:p>
    <w:p w14:paraId="61A12C0E" w14:textId="77777777" w:rsidR="007D10FC" w:rsidRPr="007D10FC" w:rsidRDefault="007D10FC" w:rsidP="007D10FC">
      <w:pPr>
        <w:ind w:firstLine="480"/>
      </w:pPr>
    </w:p>
    <w:p w14:paraId="71AFD59C" w14:textId="1A908D69" w:rsidR="007D10FC" w:rsidRDefault="007D10FC" w:rsidP="007D10FC">
      <w:pPr>
        <w:pStyle w:val="3"/>
      </w:pPr>
      <w:r>
        <w:rPr>
          <w:rFonts w:hint="eastAsia"/>
        </w:rPr>
        <w:t>可信度量</w:t>
      </w:r>
    </w:p>
    <w:p w14:paraId="5BED024A" w14:textId="77777777" w:rsidR="007D10FC" w:rsidRDefault="007D10FC" w:rsidP="007D10FC">
      <w:pPr>
        <w:ind w:firstLine="480"/>
      </w:pPr>
    </w:p>
    <w:p w14:paraId="2E7DCA45" w14:textId="77777777" w:rsidR="007D10FC" w:rsidRDefault="007D10FC" w:rsidP="007D10FC">
      <w:pPr>
        <w:keepNext/>
        <w:ind w:firstLine="480"/>
        <w:jc w:val="center"/>
      </w:pPr>
      <w:r>
        <w:rPr>
          <w:noProof/>
        </w:rPr>
        <w:drawing>
          <wp:inline distT="0" distB="0" distL="0" distR="0" wp14:anchorId="51691010" wp14:editId="469A0B75">
            <wp:extent cx="2305050" cy="3286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5050" cy="3286125"/>
                    </a:xfrm>
                    <a:prstGeom prst="rect">
                      <a:avLst/>
                    </a:prstGeom>
                  </pic:spPr>
                </pic:pic>
              </a:graphicData>
            </a:graphic>
          </wp:inline>
        </w:drawing>
      </w:r>
    </w:p>
    <w:p w14:paraId="2AC5766F" w14:textId="77777777" w:rsidR="007D10FC" w:rsidRDefault="007D10FC" w:rsidP="007D10FC">
      <w:pPr>
        <w:pStyle w:val="a7"/>
        <w:ind w:firstLine="400"/>
      </w:pPr>
      <w:r>
        <w:t xml:space="preserve">Figure </w:t>
      </w:r>
      <w:fldSimple w:instr=" SEQ Figure \* ARABIC ">
        <w:r>
          <w:rPr>
            <w:noProof/>
          </w:rPr>
          <w:t>10</w:t>
        </w:r>
      </w:fldSimple>
      <w:r>
        <w:t>简单的度量模型</w:t>
      </w:r>
    </w:p>
    <w:p w14:paraId="745D5118" w14:textId="77777777" w:rsidR="007D10FC" w:rsidRDefault="007D10FC" w:rsidP="007D10FC">
      <w:pPr>
        <w:ind w:firstLine="480"/>
      </w:pPr>
      <w:r>
        <w:rPr>
          <w:rFonts w:hint="eastAsia"/>
        </w:rPr>
        <w:t>信任链的起点是信任根，信任链的传递则是依靠可信度量技术来实现。在信任链的理论中，无论是</w:t>
      </w:r>
      <w:proofErr w:type="gramStart"/>
      <w:r>
        <w:rPr>
          <w:rFonts w:hint="eastAsia"/>
        </w:rPr>
        <w:t>最</w:t>
      </w:r>
      <w:proofErr w:type="gramEnd"/>
      <w:r>
        <w:rPr>
          <w:rFonts w:hint="eastAsia"/>
        </w:rPr>
        <w:t>底层的 BIOS 启动模块还是到最上层的应用，在得到信任以运行之前，都需要经过度量，即一个测量者认证的过程。数据完整性度量技</w:t>
      </w:r>
      <w:r>
        <w:rPr>
          <w:rFonts w:hint="eastAsia"/>
        </w:rPr>
        <w:lastRenderedPageBreak/>
        <w:t xml:space="preserve">术通过消息认证码 MAC（Message  </w:t>
      </w:r>
      <w:proofErr w:type="spellStart"/>
      <w:r>
        <w:rPr>
          <w:rFonts w:hint="eastAsia"/>
        </w:rPr>
        <w:t>uthentication</w:t>
      </w:r>
      <w:proofErr w:type="spellEnd"/>
      <w:r>
        <w:rPr>
          <w:rFonts w:hint="eastAsia"/>
        </w:rPr>
        <w:t xml:space="preserve">  Code）的一致性校验来实现度量的功能。这是现在主的度量技术方法。对于 MAC 的产生，可以利用强的分组密码或者利 ASH 函数来实现。TPM 中提供了满足单向性、抗碰撞性的安全 HASH 数 SHA-1 引擎，可以为度量的实现提供保证。 同时 TPM 还提供安存储以及内部的平台配置寄存器 PCR（Platform Configuration </w:t>
      </w:r>
      <w:proofErr w:type="spellStart"/>
      <w:r>
        <w:rPr>
          <w:rFonts w:hint="eastAsia"/>
        </w:rPr>
        <w:t>egister</w:t>
      </w:r>
      <w:proofErr w:type="spellEnd"/>
      <w:r>
        <w:rPr>
          <w:rFonts w:hint="eastAsia"/>
        </w:rPr>
        <w:t>），</w:t>
      </w:r>
      <w:proofErr w:type="gramStart"/>
      <w:r>
        <w:rPr>
          <w:rFonts w:hint="eastAsia"/>
        </w:rPr>
        <w:t>样配合</w:t>
      </w:r>
      <w:proofErr w:type="gramEnd"/>
      <w:r>
        <w:rPr>
          <w:rFonts w:hint="eastAsia"/>
        </w:rPr>
        <w:t xml:space="preserve"> TPM 的内部接口函数就可以把信任链传递下去。可信度量的新以及实际应用都是以平台配置寄存器 PCR 作为载体的。</w:t>
      </w:r>
    </w:p>
    <w:p w14:paraId="3AFCFE94" w14:textId="77777777" w:rsidR="007D10FC" w:rsidRDefault="007D10FC" w:rsidP="007D10FC">
      <w:pPr>
        <w:ind w:firstLine="480"/>
      </w:pPr>
      <w:r>
        <w:rPr>
          <w:rFonts w:hint="eastAsia"/>
        </w:rPr>
        <w:t xml:space="preserve">一个平台中可能会有大量的完整性度量，一个特殊的完整性度量需要实时地存储更新的值。一个完整性度量的新值不允许简单地覆盖现存的值。因为这样难以鉴别完整性度量的度量来源，而且攻击者可能擦除或者替换一个正确值。如果完整性度量值个别地存储，更新值也要个别地存储，那么就难以定位存储空间的大小。作为可信度量存储载体的 PCR 就是在寄存器中支持无限的度量数量。它通过使用密码学的哈希算法对更新的 PCR 做哈希（消息摘要）。伪代码如下： </w:t>
      </w:r>
    </w:p>
    <w:p w14:paraId="16BF4D28" w14:textId="77777777" w:rsidR="007D10FC" w:rsidRDefault="007D10FC" w:rsidP="007D10FC">
      <w:pPr>
        <w:ind w:firstLine="480"/>
      </w:pPr>
      <w:proofErr w:type="spellStart"/>
      <w:r>
        <w:t>PCRi</w:t>
      </w:r>
      <w:proofErr w:type="spellEnd"/>
      <w:r>
        <w:t xml:space="preserve"> New = HASH </w:t>
      </w:r>
      <w:proofErr w:type="gramStart"/>
      <w:r>
        <w:t xml:space="preserve">( </w:t>
      </w:r>
      <w:proofErr w:type="spellStart"/>
      <w:r>
        <w:t>PCRi</w:t>
      </w:r>
      <w:proofErr w:type="spellEnd"/>
      <w:proofErr w:type="gramEnd"/>
      <w:r>
        <w:t xml:space="preserve"> Old value || value to add) </w:t>
      </w:r>
    </w:p>
    <w:p w14:paraId="43FFC5C2" w14:textId="77777777" w:rsidR="007D10FC" w:rsidRDefault="007D10FC" w:rsidP="007D10FC">
      <w:pPr>
        <w:ind w:firstLine="480"/>
      </w:pPr>
      <w:r>
        <w:rPr>
          <w:rFonts w:hint="eastAsia"/>
        </w:rPr>
        <w:t xml:space="preserve">新的 PCR 值产生过程中对两部分进行了哈希，一是旧的 PCR 值，一是所增加的新数据。这样更新 PCR 的顺序是不可交换的，例如度量从 A 到 B，并不等于从 B 到 A 的度量。哈希值的另外一个特性是单向的。这意味着对于攻击者要确定输入给 PCR 的值在计算上不可行。此后更新 PCR 若没有前一个 PCR 值作为基础将不能进行。或者在重启之后，如果所有提供给 PCR 寄存器的信息缺失，后续的更新 PCR 也不能进行。 另外，在使用一个 PCR 过程中，对于 TCG 平台规范明确规定忽略的事件，度量值便不用更新。如果 PCR 已经度量过最少一个某种类型的事件，那么该类事件也可以忽略。这样就可以避免频繁记录某些重复的状态（如睡眠状态），以便延长 TPM 的使用寿命。软件数据完整性是信息安全的重要部分，但是，软件数据完整性还不能保证动态的安全性。所以上层应用软件的度量除了完整性检测度量之外，还需要借鉴其他一些度量方法。 </w:t>
      </w:r>
    </w:p>
    <w:p w14:paraId="46526F3B" w14:textId="77777777" w:rsidR="007D10FC" w:rsidRDefault="007D10FC" w:rsidP="007D10FC">
      <w:pPr>
        <w:ind w:firstLine="480"/>
      </w:pPr>
      <w:r>
        <w:rPr>
          <w:rFonts w:hint="eastAsia"/>
        </w:rPr>
        <w:t>随着现代软件的功能越来越完善，软件代码的规模也越来越庞大，度量的数据量也超乎寻常，需要对软件程序有所选取地进行度量。通过层次分析法，尽可能多地列举多种可能的度量方面，并计算出每个方面的权重值，以确定最重要的度量点。 其次对应用软件进行可信级划分，对于基本不可信以及可信程度低的</w:t>
      </w:r>
      <w:r>
        <w:rPr>
          <w:rFonts w:hint="eastAsia"/>
        </w:rPr>
        <w:lastRenderedPageBreak/>
        <w:t>软件，则不能通过度量。外因为软件的模糊性，需要引入专家评估系统，对应用软件的等级进认定。只有通过完整性检验并且等级被认定为可信的软件才能得到操作系统的授权运行。</w:t>
      </w:r>
    </w:p>
    <w:p w14:paraId="6381F669" w14:textId="77777777" w:rsidR="007D10FC" w:rsidRDefault="007D10FC" w:rsidP="007D10FC">
      <w:pPr>
        <w:keepNext/>
        <w:ind w:firstLine="480"/>
      </w:pPr>
      <w:r>
        <w:rPr>
          <w:noProof/>
        </w:rPr>
        <w:drawing>
          <wp:inline distT="0" distB="0" distL="0" distR="0" wp14:anchorId="1EB65296" wp14:editId="538AF81E">
            <wp:extent cx="5274310" cy="3695680"/>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695680"/>
                    </a:xfrm>
                    <a:prstGeom prst="rect">
                      <a:avLst/>
                    </a:prstGeom>
                  </pic:spPr>
                </pic:pic>
              </a:graphicData>
            </a:graphic>
          </wp:inline>
        </w:drawing>
      </w:r>
    </w:p>
    <w:p w14:paraId="3C59CBD2" w14:textId="11E8C73C" w:rsidR="007D10FC" w:rsidRPr="007D10FC" w:rsidRDefault="007D10FC" w:rsidP="00CA67B4">
      <w:pPr>
        <w:pStyle w:val="a7"/>
        <w:ind w:firstLine="400"/>
        <w:jc w:val="center"/>
      </w:pPr>
      <w:r>
        <w:t xml:space="preserve">Figure </w:t>
      </w:r>
      <w:fldSimple w:instr=" SEQ Figure \* ARABIC ">
        <w:r>
          <w:rPr>
            <w:noProof/>
          </w:rPr>
          <w:t>11</w:t>
        </w:r>
      </w:fldSimple>
      <w:r>
        <w:t>可信度量存储</w:t>
      </w:r>
      <w:r>
        <w:rPr>
          <w:rFonts w:hint="eastAsia"/>
        </w:rPr>
        <w:t>体系</w:t>
      </w:r>
    </w:p>
    <w:p w14:paraId="01A2A721" w14:textId="0F6F3EE8" w:rsidR="007D10FC" w:rsidRDefault="007D10FC" w:rsidP="007D10FC">
      <w:pPr>
        <w:pStyle w:val="3"/>
      </w:pPr>
      <w:r>
        <w:rPr>
          <w:rFonts w:hint="eastAsia"/>
        </w:rPr>
        <w:t>可信软件</w:t>
      </w:r>
    </w:p>
    <w:p w14:paraId="087A89CA" w14:textId="77777777" w:rsidR="007D10FC" w:rsidRDefault="007D10FC" w:rsidP="007D10FC">
      <w:pPr>
        <w:ind w:firstLine="480"/>
      </w:pPr>
      <w:r>
        <w:rPr>
          <w:rFonts w:hint="eastAsia"/>
        </w:rPr>
        <w:t>TCG组织提出的可信软件</w:t>
      </w:r>
      <w:proofErr w:type="gramStart"/>
      <w:r>
        <w:rPr>
          <w:rFonts w:hint="eastAsia"/>
        </w:rPr>
        <w:t>栈</w:t>
      </w:r>
      <w:proofErr w:type="gramEnd"/>
      <w:r>
        <w:rPr>
          <w:rFonts w:hint="eastAsia"/>
        </w:rPr>
        <w:t xml:space="preserve">TSS(TCG Software Stack)是与TPM进行交互的核心软件部件，其作用主要是为操作系统和应用程序提供使用TPM的接口，并提供增强TPM功能的函数，是TPM与上层应用之间的桥梁。 </w:t>
      </w:r>
    </w:p>
    <w:p w14:paraId="6004C55A" w14:textId="77777777" w:rsidR="007D10FC" w:rsidRDefault="007D10FC" w:rsidP="007D10FC">
      <w:pPr>
        <w:ind w:firstLine="480"/>
      </w:pPr>
      <w:r>
        <w:rPr>
          <w:rFonts w:hint="eastAsia"/>
        </w:rPr>
        <w:t xml:space="preserve">TSS的主要功能如下： </w:t>
      </w:r>
    </w:p>
    <w:p w14:paraId="3213E5AA" w14:textId="77777777" w:rsidR="007D10FC" w:rsidRDefault="007D10FC" w:rsidP="007D10FC">
      <w:pPr>
        <w:ind w:firstLine="480"/>
      </w:pPr>
      <w:r>
        <w:rPr>
          <w:rFonts w:hint="eastAsia"/>
        </w:rPr>
        <w:t xml:space="preserve">1）为应用程序提供到TPM功能服务的单入口点。 </w:t>
      </w:r>
    </w:p>
    <w:p w14:paraId="405E67AD" w14:textId="77777777" w:rsidR="007D10FC" w:rsidRDefault="007D10FC" w:rsidP="007D10FC">
      <w:pPr>
        <w:ind w:firstLine="480"/>
      </w:pPr>
      <w:r>
        <w:rPr>
          <w:rFonts w:hint="eastAsia"/>
        </w:rPr>
        <w:t xml:space="preserve">2）按标准构建字节流隐藏应用程序锁构建的复杂命令流格式。 </w:t>
      </w:r>
    </w:p>
    <w:p w14:paraId="00BC252E" w14:textId="77777777" w:rsidR="007D10FC" w:rsidRDefault="007D10FC" w:rsidP="007D10FC">
      <w:pPr>
        <w:ind w:firstLine="480"/>
      </w:pPr>
      <w:r>
        <w:rPr>
          <w:rFonts w:hint="eastAsia"/>
        </w:rPr>
        <w:t xml:space="preserve">3）提供对TPM的同步访问控制。 </w:t>
      </w:r>
    </w:p>
    <w:p w14:paraId="4CEAF435" w14:textId="77777777" w:rsidR="007D10FC" w:rsidRDefault="007D10FC" w:rsidP="007D10FC">
      <w:pPr>
        <w:ind w:firstLine="480"/>
      </w:pPr>
      <w:r>
        <w:rPr>
          <w:rFonts w:hint="eastAsia"/>
        </w:rPr>
        <w:t xml:space="preserve">4）对TPM的资源进行管理。 </w:t>
      </w:r>
    </w:p>
    <w:p w14:paraId="6CA76C52" w14:textId="77777777" w:rsidR="007D10FC" w:rsidRDefault="007D10FC" w:rsidP="007D10FC">
      <w:pPr>
        <w:ind w:firstLine="480"/>
      </w:pPr>
      <w:r>
        <w:rPr>
          <w:rFonts w:hint="eastAsia"/>
        </w:rPr>
        <w:t>TSS由四个层次组成，由上向下分别为：TSS服务提供者TSP(TCG Service Provider)，TSS核心服务TCS(TCG Core Services)，TCG设备驱动库TDDL(TCG Device Driver Library)，以及TPM设备驱动TDD(TPM Device Driver)。TSP为应用程序直接提供接口函数，TCS向上为TSP提供通用服务，TDDL提供TSS</w:t>
      </w:r>
      <w:r>
        <w:rPr>
          <w:rFonts w:hint="eastAsia"/>
        </w:rPr>
        <w:lastRenderedPageBreak/>
        <w:t>用户模式与内核模式的接口函数，TDD直接驱动TPM芯片。</w:t>
      </w:r>
    </w:p>
    <w:p w14:paraId="6DF36DA3" w14:textId="77777777" w:rsidR="007D10FC" w:rsidRDefault="007D10FC" w:rsidP="007D10FC">
      <w:pPr>
        <w:keepNext/>
        <w:ind w:firstLine="480"/>
      </w:pPr>
      <w:r>
        <w:rPr>
          <w:noProof/>
        </w:rPr>
        <w:drawing>
          <wp:inline distT="0" distB="0" distL="0" distR="0" wp14:anchorId="6312D8E9" wp14:editId="65185788">
            <wp:extent cx="5274310" cy="29344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34445"/>
                    </a:xfrm>
                    <a:prstGeom prst="rect">
                      <a:avLst/>
                    </a:prstGeom>
                  </pic:spPr>
                </pic:pic>
              </a:graphicData>
            </a:graphic>
          </wp:inline>
        </w:drawing>
      </w:r>
    </w:p>
    <w:p w14:paraId="2EC1FCFA" w14:textId="77777777" w:rsidR="007D10FC" w:rsidRPr="00D82CB4" w:rsidRDefault="007D10FC" w:rsidP="007D10FC">
      <w:pPr>
        <w:pStyle w:val="a7"/>
        <w:ind w:firstLine="400"/>
        <w:jc w:val="center"/>
      </w:pPr>
      <w:r>
        <w:t xml:space="preserve">Figure </w:t>
      </w:r>
      <w:fldSimple w:instr=" SEQ Figure \* ARABIC ">
        <w:r>
          <w:rPr>
            <w:noProof/>
          </w:rPr>
          <w:t>17</w:t>
        </w:r>
      </w:fldSimple>
      <w:r>
        <w:rPr>
          <w:rFonts w:hint="eastAsia"/>
        </w:rPr>
        <w:t>TCG</w:t>
      </w:r>
      <w:r>
        <w:rPr>
          <w:rFonts w:hint="eastAsia"/>
        </w:rPr>
        <w:t>可信计算结构框架</w:t>
      </w:r>
    </w:p>
    <w:p w14:paraId="39CCFFB5" w14:textId="77777777" w:rsidR="007D10FC" w:rsidRPr="007D10FC" w:rsidRDefault="007D10FC" w:rsidP="007D10FC">
      <w:pPr>
        <w:ind w:firstLine="480"/>
      </w:pPr>
    </w:p>
    <w:p w14:paraId="57F24E37" w14:textId="5B6D7B6C" w:rsidR="007D10FC" w:rsidRDefault="007D10FC" w:rsidP="007D10FC">
      <w:pPr>
        <w:pStyle w:val="3"/>
      </w:pPr>
      <w:r>
        <w:t>可信网路连接</w:t>
      </w:r>
    </w:p>
    <w:p w14:paraId="2A0650EA" w14:textId="77777777" w:rsidR="007D10FC" w:rsidRDefault="007D10FC" w:rsidP="007D10FC">
      <w:pPr>
        <w:ind w:firstLine="480"/>
      </w:pPr>
      <w:r>
        <w:rPr>
          <w:rFonts w:hint="eastAsia"/>
        </w:rPr>
        <w:t>可信网络连接（Ｔｒｕｓｔｅｄｎｅｔｗｏｒｋｃｏｎｎｅｃｔｉｏｎ，ＴＮＣ）是通过对信任链的建立，然后将可信计算平台的可信性延伸到网络环境来实现整个网络可信的网络连接。可信网络连接的核心思想是：通过对请求连接的终端平台的可信性进行验证，根据其可信性对终端的接入进行控制，来确保网络连接环境的可信。可信网络连接的基础架构如图３．５所示，架构对网络终端接入的过程、连接的方式、通讯协议等进行了整合，同时与传统的信息安全防御设备、网络行为控制等设施进行了交互。在可信网络连接架构下，终端可信平台不再是</w:t>
      </w:r>
      <w:proofErr w:type="gramStart"/>
      <w:r>
        <w:rPr>
          <w:rFonts w:hint="eastAsia"/>
        </w:rPr>
        <w:t>孤立可</w:t>
      </w:r>
      <w:proofErr w:type="gramEnd"/>
      <w:r>
        <w:rPr>
          <w:rFonts w:hint="eastAsia"/>
        </w:rPr>
        <w:t>信任点，相应的网络控制设施的加入更是对可信网络信任链的建立提供了有力的保障，使整个信任链处在安全的环境中</w:t>
      </w:r>
      <w:r>
        <w:rPr>
          <w:rFonts w:hint="eastAsia"/>
          <w:noProof/>
        </w:rPr>
        <w:lastRenderedPageBreak/>
        <w:drawing>
          <wp:inline distT="0" distB="0" distL="0" distR="0" wp14:anchorId="7B8148E7" wp14:editId="29D6AEBF">
            <wp:extent cx="5274310" cy="274701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G网络连接TNC.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inline>
        </w:drawing>
      </w:r>
    </w:p>
    <w:p w14:paraId="4F5AF0CE" w14:textId="77777777" w:rsidR="007D10FC" w:rsidRDefault="007D10FC" w:rsidP="007D10FC">
      <w:pPr>
        <w:ind w:firstLine="480"/>
      </w:pPr>
      <w:r>
        <w:rPr>
          <w:rFonts w:hint="eastAsia"/>
        </w:rPr>
        <w:t>可信网络连接框架由５个实体、３层结构以及多个对象接口组成，５个实体分别是访问请求者ＡＲ、策略执行点ＰＥＰ、策略决定点ＰＤＰ、元数据存取点ＭＡＰ和网络行为控制和监控点。</w:t>
      </w:r>
    </w:p>
    <w:p w14:paraId="6ED4F9D5" w14:textId="77777777" w:rsidR="007D10FC" w:rsidRDefault="007D10FC" w:rsidP="007D10FC">
      <w:pPr>
        <w:ind w:firstLine="480"/>
      </w:pPr>
      <w:r>
        <w:rPr>
          <w:rFonts w:hint="eastAsia"/>
        </w:rPr>
        <w:t>ＴＮＣ接入策略为：访问请求者发出接入请求，报告其可信完整性给策略决定点，请求接入，策略决定点通过安全策略对访问请求者的接入访问进行判别，然后根据访问请求者的报告信息决定其接入控制，再由策略执行点对其接入进行决策。而元数据服务器作为可信网络连接的接入终端连接完整性、策略信息等存储中心，对申请接入的终端的连接信息进行储存；网络行为控制和监控点作为可信网络连接的控制终端，对可信网络接入点的完整性、接入策略等信息向元数据存取点进行报告，同时根据元数据存储点中存储的相关信息对接入终端的连接进行管理。</w:t>
      </w:r>
    </w:p>
    <w:p w14:paraId="1224D4D9" w14:textId="77777777" w:rsidR="007D10FC" w:rsidRPr="007D10FC" w:rsidRDefault="007D10FC" w:rsidP="007D10FC">
      <w:pPr>
        <w:ind w:firstLine="480"/>
      </w:pPr>
    </w:p>
    <w:p w14:paraId="258CF7AD" w14:textId="582AF09B" w:rsidR="00C161D2" w:rsidRDefault="00407045" w:rsidP="00407045">
      <w:pPr>
        <w:pStyle w:val="2"/>
      </w:pPr>
      <w:r>
        <w:rPr>
          <w:rFonts w:hint="eastAsia"/>
        </w:rPr>
        <w:t>待解决的问题和后续研究</w:t>
      </w:r>
    </w:p>
    <w:p w14:paraId="6BFC02E3" w14:textId="371478E5" w:rsidR="008B77B0" w:rsidRDefault="008B77B0" w:rsidP="008B77B0">
      <w:pPr>
        <w:ind w:firstLine="480"/>
      </w:pPr>
      <w:r>
        <w:rPr>
          <w:rFonts w:hint="eastAsia"/>
        </w:rPr>
        <w:t>1 密码体制的局限性</w:t>
      </w:r>
    </w:p>
    <w:p w14:paraId="15FA6EF3" w14:textId="55D1F08C" w:rsidR="008B77B0" w:rsidRDefault="008B77B0" w:rsidP="008B77B0">
      <w:pPr>
        <w:ind w:firstLine="480"/>
      </w:pPr>
      <w:r>
        <w:rPr>
          <w:rFonts w:hint="eastAsia"/>
        </w:rPr>
        <w:t>ＴＣＧ原版本只采用了公</w:t>
      </w:r>
      <w:proofErr w:type="gramStart"/>
      <w:r>
        <w:rPr>
          <w:rFonts w:hint="eastAsia"/>
        </w:rPr>
        <w:t>钥</w:t>
      </w:r>
      <w:proofErr w:type="gramEnd"/>
      <w:r>
        <w:rPr>
          <w:rFonts w:hint="eastAsia"/>
        </w:rPr>
        <w:t>密码算法ＲＳＡ，杂</w:t>
      </w:r>
      <w:r w:rsidRPr="008B77B0">
        <w:rPr>
          <w:rFonts w:hint="eastAsia"/>
        </w:rPr>
        <w:t>凑算法只支持ＳＨＡ１系列，</w:t>
      </w:r>
      <w:r>
        <w:rPr>
          <w:rFonts w:hint="eastAsia"/>
        </w:rPr>
        <w:t>回避了对称密码。由此</w:t>
      </w:r>
      <w:r w:rsidRPr="008B77B0">
        <w:rPr>
          <w:rFonts w:hint="eastAsia"/>
        </w:rPr>
        <w:t>导致密钥管理、密钥迁移和授权协议的设计复杂化（５类证书、７类密钥），也直接威胁着密码的安全</w:t>
      </w:r>
      <w:r>
        <w:rPr>
          <w:rFonts w:hint="eastAsia"/>
        </w:rPr>
        <w:t>。在未来，希望</w:t>
      </w:r>
      <w:r w:rsidRPr="008B77B0">
        <w:rPr>
          <w:rFonts w:hint="eastAsia"/>
        </w:rPr>
        <w:t>采用了我国对称非对称结合的密码体制</w:t>
      </w:r>
      <w:r>
        <w:rPr>
          <w:rFonts w:hint="eastAsia"/>
        </w:rPr>
        <w:t>，保证自主可控。</w:t>
      </w:r>
    </w:p>
    <w:p w14:paraId="72061B66" w14:textId="27721E02" w:rsidR="008B77B0" w:rsidRDefault="008B77B0" w:rsidP="008B77B0">
      <w:pPr>
        <w:ind w:firstLine="480"/>
      </w:pPr>
      <w:r>
        <w:rPr>
          <w:rFonts w:hint="eastAsia"/>
        </w:rPr>
        <w:t>在密码算法上，全部采用国有自主设计的算法，定义可信计算密</w:t>
      </w:r>
      <w:r w:rsidRPr="008B77B0">
        <w:rPr>
          <w:rFonts w:hint="eastAsia"/>
        </w:rPr>
        <w:t>码模块（Ｔ</w:t>
      </w:r>
      <w:r w:rsidRPr="008B77B0">
        <w:rPr>
          <w:rFonts w:hint="eastAsia"/>
        </w:rPr>
        <w:lastRenderedPageBreak/>
        <w:t>ＣＭ）；在密码机制上，对称密码与公</w:t>
      </w:r>
      <w:proofErr w:type="gramStart"/>
      <w:r w:rsidRPr="008B77B0">
        <w:rPr>
          <w:rFonts w:hint="eastAsia"/>
        </w:rPr>
        <w:t>钥</w:t>
      </w:r>
      <w:proofErr w:type="gramEnd"/>
      <w:r w:rsidRPr="008B77B0">
        <w:rPr>
          <w:rFonts w:hint="eastAsia"/>
        </w:rPr>
        <w:t>密码相结合，提高了安全性和效率；在证书结构上，采用双证书结构，简化了证书管理，提高了可用性和可管性。</w:t>
      </w:r>
      <w:r>
        <w:rPr>
          <w:noProof/>
        </w:rPr>
        <w:drawing>
          <wp:inline distT="0" distB="0" distL="0" distR="0" wp14:anchorId="5FF5E7D9" wp14:editId="1B7B4CDA">
            <wp:extent cx="5274310" cy="202426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024261"/>
                    </a:xfrm>
                    <a:prstGeom prst="rect">
                      <a:avLst/>
                    </a:prstGeom>
                  </pic:spPr>
                </pic:pic>
              </a:graphicData>
            </a:graphic>
          </wp:inline>
        </w:drawing>
      </w:r>
    </w:p>
    <w:p w14:paraId="276EC355" w14:textId="21BD1DB5" w:rsidR="008B77B0" w:rsidRDefault="008B77B0" w:rsidP="008B77B0">
      <w:pPr>
        <w:ind w:firstLine="480"/>
      </w:pPr>
      <w:r>
        <w:rPr>
          <w:rFonts w:hint="eastAsia"/>
        </w:rPr>
        <w:t>2体系结构的合理性</w:t>
      </w:r>
    </w:p>
    <w:p w14:paraId="548F9BFC" w14:textId="29BFDB36" w:rsidR="008B77B0" w:rsidRDefault="008B77B0" w:rsidP="008B77B0">
      <w:pPr>
        <w:ind w:firstLine="480"/>
      </w:pPr>
      <w:r w:rsidRPr="008B77B0">
        <w:rPr>
          <w:rFonts w:hint="eastAsia"/>
        </w:rPr>
        <w:t>ＴＣＧ采用外挂式结构，未从计算机体系结构上作变更，把可信平台模块（ＴＰＭ）作为外部设备挂接在外总线上。软件上，可信软件</w:t>
      </w:r>
      <w:proofErr w:type="gramStart"/>
      <w:r w:rsidRPr="008B77B0">
        <w:rPr>
          <w:rFonts w:hint="eastAsia"/>
        </w:rPr>
        <w:t>栈</w:t>
      </w:r>
      <w:proofErr w:type="gramEnd"/>
      <w:r w:rsidRPr="008B77B0">
        <w:rPr>
          <w:rFonts w:hint="eastAsia"/>
        </w:rPr>
        <w:t>（ＴＳＳ）是ＴＰＳ的子程序库，被动调用，无法动态主动度量。</w:t>
      </w:r>
    </w:p>
    <w:p w14:paraId="6F296F09" w14:textId="744DC43C" w:rsidR="008B77B0" w:rsidRDefault="008B77B0" w:rsidP="008B77B0">
      <w:pPr>
        <w:ind w:firstLine="480"/>
      </w:pPr>
      <w:r>
        <w:rPr>
          <w:rFonts w:hint="eastAsia"/>
        </w:rPr>
        <w:t>3结合区块链技术的可信存储技术</w:t>
      </w:r>
    </w:p>
    <w:p w14:paraId="40497165" w14:textId="76AB5A0A" w:rsidR="008B77B0" w:rsidRDefault="008B77B0" w:rsidP="00E834DE">
      <w:pPr>
        <w:ind w:firstLine="480"/>
      </w:pPr>
      <w:r>
        <w:rPr>
          <w:rFonts w:hint="eastAsia"/>
        </w:rPr>
        <w:t>TCG规范中，</w:t>
      </w:r>
      <w:r w:rsidR="00E834DE">
        <w:rPr>
          <w:rFonts w:hint="eastAsia"/>
        </w:rPr>
        <w:t>使用硬盘的封闭计算环境，定义基于硬件安全功能的</w:t>
      </w:r>
      <w:proofErr w:type="gramStart"/>
      <w:r w:rsidR="00E834DE">
        <w:rPr>
          <w:rFonts w:hint="eastAsia"/>
        </w:rPr>
        <w:t>硬盘级</w:t>
      </w:r>
      <w:proofErr w:type="gramEnd"/>
      <w:r w:rsidR="00E834DE">
        <w:rPr>
          <w:rFonts w:hint="eastAsia"/>
        </w:rPr>
        <w:t>平台。通过增强型固件和硬件、可信发送/接收命令集、安全分区、隔离协议等技术进行可信存储，但是随着分布式技术和</w:t>
      </w:r>
      <w:proofErr w:type="gramStart"/>
      <w:r w:rsidR="00E834DE">
        <w:rPr>
          <w:rFonts w:hint="eastAsia"/>
        </w:rPr>
        <w:t>物联网</w:t>
      </w:r>
      <w:proofErr w:type="gramEnd"/>
      <w:r w:rsidR="00E834DE">
        <w:rPr>
          <w:rFonts w:hint="eastAsia"/>
        </w:rPr>
        <w:t>的发展，分布式数据管理逐步成为数据系统中的重要手段，而原本的这种集中存储方式面临数据恶意篡改、单点故障攻击等风险。针对这些信息安全问题，利用区块链分布式存储技术的去中心化、防篡改、高度可拓展等特征为分布式的高效可信存储提供有效的解决方案</w:t>
      </w:r>
    </w:p>
    <w:p w14:paraId="26AA2FAA" w14:textId="5DBD9937" w:rsidR="00E834DE" w:rsidRPr="008B77B0" w:rsidRDefault="00E834DE" w:rsidP="00E834DE">
      <w:pPr>
        <w:ind w:firstLine="480"/>
        <w:jc w:val="center"/>
      </w:pPr>
      <w:r w:rsidRPr="00E834DE">
        <w:rPr>
          <w:rFonts w:hint="eastAsia"/>
        </w:rPr>
        <w:t></w:t>
      </w:r>
    </w:p>
    <w:p w14:paraId="563BC359" w14:textId="1B983DE3" w:rsidR="00407045" w:rsidRDefault="00407045" w:rsidP="00407045">
      <w:pPr>
        <w:pStyle w:val="2"/>
      </w:pPr>
      <w:r>
        <w:rPr>
          <w:rFonts w:hint="eastAsia"/>
        </w:rPr>
        <w:t>研究</w:t>
      </w:r>
      <w:r w:rsidR="00076187">
        <w:rPr>
          <w:rFonts w:hint="eastAsia"/>
        </w:rPr>
        <w:t>内容</w:t>
      </w:r>
      <w:r w:rsidR="00076187" w:rsidRPr="00E834DE">
        <w:rPr>
          <w:rFonts w:hint="eastAsia"/>
        </w:rPr>
        <w:t>和</w:t>
      </w:r>
      <w:r w:rsidR="00076187">
        <w:rPr>
          <w:rFonts w:hint="eastAsia"/>
        </w:rPr>
        <w:t>技术</w:t>
      </w:r>
      <w:r>
        <w:rPr>
          <w:rFonts w:hint="eastAsia"/>
        </w:rPr>
        <w:t>路径</w:t>
      </w:r>
    </w:p>
    <w:p w14:paraId="6BF5EE63" w14:textId="70520EEA" w:rsidR="009D010F" w:rsidRDefault="009D010F" w:rsidP="009D010F">
      <w:pPr>
        <w:pStyle w:val="a0"/>
        <w:numPr>
          <w:ilvl w:val="0"/>
          <w:numId w:val="10"/>
        </w:numPr>
        <w:ind w:firstLineChars="0"/>
      </w:pPr>
      <w:r>
        <w:rPr>
          <w:rFonts w:hint="eastAsia"/>
        </w:rPr>
        <w:t>自主可控的可信密码模块</w:t>
      </w:r>
    </w:p>
    <w:p w14:paraId="012978DB" w14:textId="77777777" w:rsidR="00C04048" w:rsidRDefault="009D010F" w:rsidP="00C04048">
      <w:pPr>
        <w:pStyle w:val="a0"/>
        <w:keepNext/>
        <w:ind w:left="840" w:firstLineChars="0" w:firstLine="0"/>
      </w:pPr>
      <w:r>
        <w:rPr>
          <w:noProof/>
        </w:rPr>
        <w:lastRenderedPageBreak/>
        <w:drawing>
          <wp:inline distT="0" distB="0" distL="0" distR="0" wp14:anchorId="4AF67AE9" wp14:editId="1E670410">
            <wp:extent cx="5274310" cy="2886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86075"/>
                    </a:xfrm>
                    <a:prstGeom prst="rect">
                      <a:avLst/>
                    </a:prstGeom>
                  </pic:spPr>
                </pic:pic>
              </a:graphicData>
            </a:graphic>
          </wp:inline>
        </w:drawing>
      </w:r>
    </w:p>
    <w:p w14:paraId="4E7DFB02" w14:textId="363CBAE4" w:rsidR="009D010F" w:rsidRDefault="00C04048" w:rsidP="00C04048">
      <w:pPr>
        <w:pStyle w:val="a7"/>
        <w:ind w:firstLine="400"/>
        <w:jc w:val="center"/>
      </w:pPr>
      <w:r>
        <w:t xml:space="preserve">Figure </w:t>
      </w:r>
      <w:r w:rsidR="0043232F">
        <w:fldChar w:fldCharType="begin"/>
      </w:r>
      <w:r w:rsidR="0043232F">
        <w:instrText xml:space="preserve"> SEQ Figur</w:instrText>
      </w:r>
      <w:r w:rsidR="0043232F">
        <w:instrText xml:space="preserve">e \* ARABIC </w:instrText>
      </w:r>
      <w:r w:rsidR="0043232F">
        <w:fldChar w:fldCharType="separate"/>
      </w:r>
      <w:r>
        <w:rPr>
          <w:noProof/>
        </w:rPr>
        <w:t>1</w:t>
      </w:r>
      <w:r w:rsidR="0043232F">
        <w:rPr>
          <w:noProof/>
        </w:rPr>
        <w:fldChar w:fldCharType="end"/>
      </w:r>
      <w:r>
        <w:t>自主可控的可信密码模块</w:t>
      </w:r>
    </w:p>
    <w:p w14:paraId="6741E8E5" w14:textId="77777777" w:rsidR="009D010F" w:rsidRDefault="009D010F" w:rsidP="009D010F">
      <w:pPr>
        <w:ind w:firstLine="480"/>
      </w:pPr>
      <w:r>
        <w:t xml:space="preserve">TCM </w:t>
      </w:r>
      <w:r>
        <w:rPr>
          <w:rFonts w:ascii="宋体" w:cs="宋体" w:hint="eastAsia"/>
        </w:rPr>
        <w:t>定义了一个具有存储保护和执行保护的子系统，该子系统将为计算平台建立信任根基，并且其独立的计算资源将建立严格受限的安全保护机制。为防止</w:t>
      </w:r>
      <w:r>
        <w:t xml:space="preserve">TCM </w:t>
      </w:r>
      <w:r>
        <w:rPr>
          <w:rFonts w:ascii="宋体" w:cs="宋体" w:hint="eastAsia"/>
        </w:rPr>
        <w:t>成为计算平台的性能瓶颈，将子系统中需执行保护</w:t>
      </w:r>
      <w:r>
        <w:rPr>
          <w:rFonts w:hint="eastAsia"/>
        </w:rPr>
        <w:t>的函数与无需执行保护的函数分开，将无需执行保护的功能函数由计算平台主处理器执行，这些功能函数构成</w:t>
      </w:r>
      <w:r>
        <w:rPr>
          <w:rFonts w:ascii="TimesNewRomanPSMT" w:hAnsi="TimesNewRomanPSMT" w:cs="TimesNewRomanPSMT"/>
        </w:rPr>
        <w:t>TSM</w:t>
      </w:r>
      <w:r>
        <w:rPr>
          <w:rFonts w:hint="eastAsia"/>
        </w:rPr>
        <w:t>。</w:t>
      </w:r>
    </w:p>
    <w:p w14:paraId="6690835D" w14:textId="0189571D" w:rsidR="009D010F" w:rsidRDefault="009D010F" w:rsidP="00C04048">
      <w:pPr>
        <w:ind w:firstLine="480"/>
      </w:pPr>
      <w:r>
        <w:rPr>
          <w:rFonts w:ascii="TimesNewRomanPSMT" w:hAnsi="TimesNewRomanPSMT" w:cs="TimesNewRomanPSMT"/>
        </w:rPr>
        <w:t xml:space="preserve">TCM </w:t>
      </w:r>
      <w:r>
        <w:rPr>
          <w:rFonts w:hint="eastAsia"/>
        </w:rPr>
        <w:t>结构如图所示，各部件功能如下：</w:t>
      </w:r>
    </w:p>
    <w:p w14:paraId="510C6F62" w14:textId="77777777" w:rsidR="009D010F" w:rsidRDefault="009D010F" w:rsidP="00C04048">
      <w:pPr>
        <w:ind w:firstLine="480"/>
        <w:rPr>
          <w:rFonts w:hAnsi="TimesNewRomanPSMT"/>
        </w:rPr>
      </w:pPr>
      <w:r>
        <w:rPr>
          <w:rFonts w:ascii="TimesNewRomanPSMT" w:hAnsi="TimesNewRomanPSMT" w:cs="TimesNewRomanPSMT"/>
        </w:rPr>
        <w:t>I/O</w:t>
      </w:r>
      <w:r>
        <w:rPr>
          <w:rFonts w:hAnsi="TimesNewRomanPSMT" w:hint="eastAsia"/>
        </w:rPr>
        <w:t>：</w:t>
      </w:r>
      <w:r>
        <w:rPr>
          <w:rFonts w:ascii="TimesNewRomanPSMT" w:hAnsi="TimesNewRomanPSMT" w:cs="TimesNewRomanPSMT"/>
        </w:rPr>
        <w:t xml:space="preserve">TCM </w:t>
      </w:r>
      <w:r>
        <w:rPr>
          <w:rFonts w:hAnsi="TimesNewRomanPSMT" w:hint="eastAsia"/>
        </w:rPr>
        <w:t>的输入输出硬件接口；</w:t>
      </w:r>
    </w:p>
    <w:p w14:paraId="6519F251" w14:textId="77777777" w:rsidR="009D010F" w:rsidRDefault="009D010F" w:rsidP="00C04048">
      <w:pPr>
        <w:ind w:firstLine="480"/>
        <w:rPr>
          <w:rFonts w:hAnsi="TimesNewRomanPSMT"/>
        </w:rPr>
      </w:pPr>
      <w:r>
        <w:rPr>
          <w:rFonts w:ascii="TimesNewRomanPSMT" w:hAnsi="TimesNewRomanPSMT" w:cs="TimesNewRomanPSMT"/>
        </w:rPr>
        <w:t xml:space="preserve">SMS4 </w:t>
      </w:r>
      <w:r>
        <w:rPr>
          <w:rFonts w:hAnsi="TimesNewRomanPSMT" w:hint="eastAsia"/>
        </w:rPr>
        <w:t>引擎：执行</w:t>
      </w:r>
      <w:r>
        <w:rPr>
          <w:rFonts w:ascii="TimesNewRomanPSMT" w:hAnsi="TimesNewRomanPSMT" w:cs="TimesNewRomanPSMT"/>
        </w:rPr>
        <w:t xml:space="preserve">SMS4 </w:t>
      </w:r>
      <w:r>
        <w:rPr>
          <w:rFonts w:hAnsi="TimesNewRomanPSMT" w:hint="eastAsia"/>
        </w:rPr>
        <w:t>对称密码运算；</w:t>
      </w:r>
    </w:p>
    <w:p w14:paraId="2F7206F6" w14:textId="77777777" w:rsidR="009D010F" w:rsidRDefault="009D010F" w:rsidP="00C04048">
      <w:pPr>
        <w:ind w:firstLine="480"/>
        <w:rPr>
          <w:rFonts w:hAnsi="TimesNewRomanPSMT"/>
        </w:rPr>
      </w:pPr>
      <w:r>
        <w:rPr>
          <w:rFonts w:ascii="TimesNewRomanPSMT" w:hAnsi="TimesNewRomanPSMT" w:cs="TimesNewRomanPSMT"/>
        </w:rPr>
        <w:t xml:space="preserve">SM2 </w:t>
      </w:r>
      <w:r>
        <w:rPr>
          <w:rFonts w:hAnsi="TimesNewRomanPSMT" w:hint="eastAsia"/>
        </w:rPr>
        <w:t>引擎：产生</w:t>
      </w:r>
      <w:r>
        <w:rPr>
          <w:rFonts w:ascii="TimesNewRomanPSMT" w:hAnsi="TimesNewRomanPSMT" w:cs="TimesNewRomanPSMT"/>
        </w:rPr>
        <w:t xml:space="preserve">SM2 </w:t>
      </w:r>
      <w:r>
        <w:rPr>
          <w:rFonts w:hAnsi="TimesNewRomanPSMT" w:hint="eastAsia"/>
        </w:rPr>
        <w:t>密钥对，执行</w:t>
      </w:r>
      <w:r>
        <w:rPr>
          <w:rFonts w:ascii="TimesNewRomanPSMT" w:hAnsi="TimesNewRomanPSMT" w:cs="TimesNewRomanPSMT"/>
        </w:rPr>
        <w:t xml:space="preserve">SM2 </w:t>
      </w:r>
      <w:r>
        <w:rPr>
          <w:rFonts w:hAnsi="TimesNewRomanPSMT" w:hint="eastAsia"/>
        </w:rPr>
        <w:t>加</w:t>
      </w:r>
      <w:r>
        <w:rPr>
          <w:rFonts w:ascii="TimesNewRomanPSMT" w:hAnsi="TimesNewRomanPSMT" w:cs="TimesNewRomanPSMT"/>
        </w:rPr>
        <w:t>/</w:t>
      </w:r>
      <w:r>
        <w:rPr>
          <w:rFonts w:hAnsi="TimesNewRomanPSMT" w:hint="eastAsia"/>
        </w:rPr>
        <w:t>解密、签名</w:t>
      </w:r>
    </w:p>
    <w:p w14:paraId="4481D6AC" w14:textId="77777777" w:rsidR="009D010F" w:rsidRDefault="009D010F" w:rsidP="00C04048">
      <w:pPr>
        <w:ind w:firstLine="480"/>
        <w:rPr>
          <w:rFonts w:hAnsi="TimesNewRomanPSMT"/>
        </w:rPr>
      </w:pPr>
      <w:r>
        <w:rPr>
          <w:rFonts w:hAnsi="TimesNewRomanPSMT" w:hint="eastAsia"/>
        </w:rPr>
        <w:t>运算；</w:t>
      </w:r>
    </w:p>
    <w:p w14:paraId="44154D04" w14:textId="77777777" w:rsidR="009D010F" w:rsidRDefault="009D010F" w:rsidP="00C04048">
      <w:pPr>
        <w:ind w:firstLine="480"/>
        <w:rPr>
          <w:rFonts w:hAnsi="TimesNewRomanPSMT"/>
        </w:rPr>
      </w:pPr>
      <w:r>
        <w:rPr>
          <w:rFonts w:ascii="TimesNewRomanPSMT" w:hAnsi="TimesNewRomanPSMT" w:cs="TimesNewRomanPSMT"/>
        </w:rPr>
        <w:t xml:space="preserve">SM3 </w:t>
      </w:r>
      <w:r>
        <w:rPr>
          <w:rFonts w:hAnsi="TimesNewRomanPSMT" w:hint="eastAsia"/>
        </w:rPr>
        <w:t>引擎：执行杂凑运算；</w:t>
      </w:r>
    </w:p>
    <w:p w14:paraId="003865B4" w14:textId="77777777" w:rsidR="009D010F" w:rsidRDefault="009D010F" w:rsidP="00C04048">
      <w:pPr>
        <w:ind w:firstLine="480"/>
        <w:rPr>
          <w:rFonts w:hAnsi="TimesNewRomanPSMT"/>
        </w:rPr>
      </w:pPr>
      <w:r>
        <w:rPr>
          <w:rFonts w:hAnsi="TimesNewRomanPSMT" w:hint="eastAsia"/>
        </w:rPr>
        <w:t>随机数产生器：生成随机数；</w:t>
      </w:r>
    </w:p>
    <w:p w14:paraId="0EA2564D" w14:textId="77777777" w:rsidR="009D010F" w:rsidRDefault="009D010F" w:rsidP="00C04048">
      <w:pPr>
        <w:ind w:firstLine="480"/>
        <w:rPr>
          <w:rFonts w:hAnsi="TimesNewRomanPSMT"/>
        </w:rPr>
      </w:pPr>
      <w:r>
        <w:rPr>
          <w:rFonts w:ascii="TimesNewRomanPSMT" w:hAnsi="TimesNewRomanPSMT" w:cs="TimesNewRomanPSMT"/>
        </w:rPr>
        <w:t xml:space="preserve">HMAC </w:t>
      </w:r>
      <w:r>
        <w:rPr>
          <w:rFonts w:hAnsi="TimesNewRomanPSMT" w:hint="eastAsia"/>
        </w:rPr>
        <w:t>引擎：基于</w:t>
      </w:r>
      <w:r>
        <w:rPr>
          <w:rFonts w:ascii="TimesNewRomanPSMT" w:hAnsi="TimesNewRomanPSMT" w:cs="TimesNewRomanPSMT"/>
        </w:rPr>
        <w:t xml:space="preserve">SM3 </w:t>
      </w:r>
      <w:r>
        <w:rPr>
          <w:rFonts w:hAnsi="TimesNewRomanPSMT" w:hint="eastAsia"/>
        </w:rPr>
        <w:t>引擎，计算消息认证码；</w:t>
      </w:r>
    </w:p>
    <w:p w14:paraId="04D58C63" w14:textId="77777777" w:rsidR="009D010F" w:rsidRDefault="009D010F" w:rsidP="00C04048">
      <w:pPr>
        <w:ind w:firstLine="480"/>
        <w:rPr>
          <w:rFonts w:hAnsi="TimesNewRomanPSMT"/>
        </w:rPr>
      </w:pPr>
      <w:r>
        <w:rPr>
          <w:rFonts w:hAnsi="TimesNewRomanPSMT" w:hint="eastAsia"/>
        </w:rPr>
        <w:t>执行引擎：</w:t>
      </w:r>
      <w:r>
        <w:rPr>
          <w:rFonts w:ascii="TimesNewRomanPSMT" w:hAnsi="TimesNewRomanPSMT" w:cs="TimesNewRomanPSMT"/>
        </w:rPr>
        <w:t xml:space="preserve">TCM </w:t>
      </w:r>
      <w:r>
        <w:rPr>
          <w:rFonts w:hAnsi="TimesNewRomanPSMT" w:hint="eastAsia"/>
        </w:rPr>
        <w:t>的运算执行部件；</w:t>
      </w:r>
    </w:p>
    <w:p w14:paraId="0F776D98" w14:textId="77777777" w:rsidR="009D010F" w:rsidRDefault="009D010F" w:rsidP="00C04048">
      <w:pPr>
        <w:ind w:firstLine="480"/>
        <w:rPr>
          <w:rFonts w:hAnsi="TimesNewRomanPSMT"/>
        </w:rPr>
      </w:pPr>
      <w:r>
        <w:rPr>
          <w:rFonts w:hAnsi="TimesNewRomanPSMT" w:hint="eastAsia"/>
        </w:rPr>
        <w:t>非易失性存储器：存储永久数据的存储部件；</w:t>
      </w:r>
    </w:p>
    <w:p w14:paraId="73B40BA8" w14:textId="77777777" w:rsidR="009D010F" w:rsidRDefault="009D010F" w:rsidP="00C04048">
      <w:pPr>
        <w:ind w:firstLine="480"/>
        <w:rPr>
          <w:rFonts w:hAnsi="TimesNewRomanPSMT"/>
        </w:rPr>
      </w:pPr>
      <w:r>
        <w:rPr>
          <w:rFonts w:hAnsi="TimesNewRomanPSMT" w:hint="eastAsia"/>
        </w:rPr>
        <w:t>易失性存储器：</w:t>
      </w:r>
      <w:r>
        <w:rPr>
          <w:rFonts w:ascii="TimesNewRomanPSMT" w:hAnsi="TimesNewRomanPSMT" w:cs="TimesNewRomanPSMT"/>
        </w:rPr>
        <w:t xml:space="preserve">TCM </w:t>
      </w:r>
      <w:r>
        <w:rPr>
          <w:rFonts w:hAnsi="TimesNewRomanPSMT" w:hint="eastAsia"/>
        </w:rPr>
        <w:t>运行时的临时数据存储部件。</w:t>
      </w:r>
    </w:p>
    <w:p w14:paraId="5D301B34" w14:textId="77777777" w:rsidR="009D010F" w:rsidRDefault="009D010F" w:rsidP="00C04048">
      <w:pPr>
        <w:ind w:firstLine="480"/>
      </w:pPr>
      <w:r>
        <w:rPr>
          <w:rFonts w:hint="eastAsia"/>
        </w:rPr>
        <w:t>可信计算密码支撑平台涉及密码算法包括：</w:t>
      </w:r>
      <w:r>
        <w:rPr>
          <w:rFonts w:ascii="TimesNewRomanPSMT" w:hAnsi="TimesNewRomanPSMT" w:cs="TimesNewRomanPSMT"/>
        </w:rPr>
        <w:t xml:space="preserve">SM2 </w:t>
      </w:r>
      <w:r>
        <w:rPr>
          <w:rFonts w:hint="eastAsia"/>
        </w:rPr>
        <w:t>椭圆曲线密码算法、</w:t>
      </w:r>
      <w:r>
        <w:rPr>
          <w:rFonts w:ascii="TimesNewRomanPSMT" w:hAnsi="TimesNewRomanPSMT" w:cs="TimesNewRomanPSMT"/>
        </w:rPr>
        <w:t xml:space="preserve">SMS4 </w:t>
      </w:r>
      <w:r>
        <w:rPr>
          <w:rFonts w:hint="eastAsia"/>
        </w:rPr>
        <w:t>对称密码算法、</w:t>
      </w:r>
      <w:r>
        <w:rPr>
          <w:rFonts w:ascii="TimesNewRomanPSMT" w:hAnsi="TimesNewRomanPSMT" w:cs="TimesNewRomanPSMT"/>
        </w:rPr>
        <w:t xml:space="preserve">SM3 </w:t>
      </w:r>
      <w:r>
        <w:rPr>
          <w:rFonts w:hint="eastAsia"/>
        </w:rPr>
        <w:t>密码杂凑算法、</w:t>
      </w:r>
      <w:r>
        <w:rPr>
          <w:rFonts w:ascii="TimesNewRomanPSMT" w:hAnsi="TimesNewRomanPSMT" w:cs="TimesNewRomanPSMT"/>
        </w:rPr>
        <w:t xml:space="preserve">HMAC </w:t>
      </w:r>
      <w:r>
        <w:rPr>
          <w:rFonts w:hint="eastAsia"/>
        </w:rPr>
        <w:t>消息认证码算法、</w:t>
      </w:r>
      <w:r>
        <w:rPr>
          <w:rFonts w:ascii="TimesNewRomanPSMT" w:hAnsi="TimesNewRomanPSMT" w:cs="TimesNewRomanPSMT"/>
        </w:rPr>
        <w:t>RNG</w:t>
      </w:r>
      <w:r>
        <w:rPr>
          <w:rFonts w:hint="eastAsia"/>
        </w:rPr>
        <w:t>（随机数发</w:t>
      </w:r>
      <w:r>
        <w:rPr>
          <w:rFonts w:hint="eastAsia"/>
        </w:rPr>
        <w:lastRenderedPageBreak/>
        <w:t>生器）。</w:t>
      </w:r>
      <w:r>
        <w:rPr>
          <w:rFonts w:ascii="TimesNewRomanPSMT" w:hAnsi="TimesNewRomanPSMT" w:cs="TimesNewRomanPSMT"/>
        </w:rPr>
        <w:t xml:space="preserve">SM2 </w:t>
      </w:r>
      <w:r>
        <w:rPr>
          <w:rFonts w:hint="eastAsia"/>
        </w:rPr>
        <w:t>椭圆曲线密码算法，密钥长</w:t>
      </w:r>
      <w:r>
        <w:rPr>
          <w:rFonts w:ascii="TimesNewRomanPSMT" w:hAnsi="TimesNewRomanPSMT" w:cs="TimesNewRomanPSMT"/>
        </w:rPr>
        <w:t xml:space="preserve">256 </w:t>
      </w:r>
      <w:r>
        <w:rPr>
          <w:rFonts w:hint="eastAsia"/>
        </w:rPr>
        <w:t>位，包括：系统参数、密钥对生成和三个子算法，三个子算法分别是：数字签名算法</w:t>
      </w:r>
      <w:r>
        <w:rPr>
          <w:rFonts w:ascii="TimesNewRomanPSMT" w:hAnsi="TimesNewRomanPSMT" w:cs="TimesNewRomanPSMT"/>
        </w:rPr>
        <w:t>(SM2-1)</w:t>
      </w:r>
      <w:r>
        <w:rPr>
          <w:rFonts w:hint="eastAsia"/>
        </w:rPr>
        <w:t>、密钥交换协议</w:t>
      </w:r>
      <w:r>
        <w:rPr>
          <w:rFonts w:ascii="TimesNewRomanPSMT" w:hAnsi="TimesNewRomanPSMT" w:cs="TimesNewRomanPSMT"/>
        </w:rPr>
        <w:t>(SM2-2)</w:t>
      </w:r>
      <w:r>
        <w:rPr>
          <w:rFonts w:hint="eastAsia"/>
        </w:rPr>
        <w:t>、加密算法</w:t>
      </w:r>
      <w:r>
        <w:rPr>
          <w:rFonts w:ascii="TimesNewRomanPSMT" w:hAnsi="TimesNewRomanPSMT" w:cs="TimesNewRomanPSMT"/>
        </w:rPr>
        <w:t>(SM2-3)</w:t>
      </w:r>
      <w:r>
        <w:rPr>
          <w:rFonts w:hint="eastAsia"/>
        </w:rPr>
        <w:t>。</w:t>
      </w:r>
      <w:r>
        <w:rPr>
          <w:rFonts w:ascii="TimesNewRomanPSMT" w:hAnsi="TimesNewRomanPSMT" w:cs="TimesNewRomanPSMT"/>
        </w:rPr>
        <w:t xml:space="preserve">SMS4 </w:t>
      </w:r>
      <w:r>
        <w:rPr>
          <w:rFonts w:hint="eastAsia"/>
        </w:rPr>
        <w:t>是对称密码算法，分组长度为</w:t>
      </w:r>
      <w:r>
        <w:rPr>
          <w:rFonts w:ascii="TimesNewRomanPSMT" w:hAnsi="TimesNewRomanPSMT" w:cs="TimesNewRomanPSMT"/>
        </w:rPr>
        <w:t>128bit</w:t>
      </w:r>
      <w:r>
        <w:rPr>
          <w:rFonts w:hint="eastAsia"/>
        </w:rPr>
        <w:t>，密钥长度为</w:t>
      </w:r>
      <w:r>
        <w:rPr>
          <w:rFonts w:ascii="TimesNewRomanPSMT" w:hAnsi="TimesNewRomanPSMT" w:cs="TimesNewRomanPSMT"/>
        </w:rPr>
        <w:t>12bit</w:t>
      </w:r>
      <w:r>
        <w:rPr>
          <w:rFonts w:hint="eastAsia"/>
        </w:rPr>
        <w:t>，加密算法和密钥扩展算法都采用</w:t>
      </w:r>
      <w:r>
        <w:rPr>
          <w:rFonts w:ascii="TimesNewRomanPSMT" w:hAnsi="TimesNewRomanPSMT" w:cs="TimesNewRomanPSMT"/>
        </w:rPr>
        <w:t xml:space="preserve">32 </w:t>
      </w:r>
      <w:r>
        <w:rPr>
          <w:rFonts w:hint="eastAsia"/>
        </w:rPr>
        <w:t>轮非线性迭代结构，加、解密算法的结构相同，只是轮密钥的使用顺序相反。规范要求采用</w:t>
      </w:r>
      <w:r>
        <w:rPr>
          <w:rFonts w:ascii="TimesNewRomanPSMT" w:hAnsi="TimesNewRomanPSMT" w:cs="TimesNewRomanPSMT"/>
        </w:rPr>
        <w:t xml:space="preserve">CBC </w:t>
      </w:r>
      <w:r>
        <w:rPr>
          <w:rFonts w:hint="eastAsia"/>
        </w:rPr>
        <w:t>模式，</w:t>
      </w:r>
      <w:r>
        <w:rPr>
          <w:rFonts w:ascii="新宋体" w:eastAsia="新宋体" w:cs="新宋体" w:hint="eastAsia"/>
        </w:rPr>
        <w:t>Ⅳ</w:t>
      </w:r>
      <w:r>
        <w:rPr>
          <w:rFonts w:hint="eastAsia"/>
        </w:rPr>
        <w:t>由用户自定义，数据的最末分组</w:t>
      </w:r>
      <w:r>
        <w:rPr>
          <w:rFonts w:ascii="TimesNewRomanPSMT" w:hAnsi="TimesNewRomanPSMT" w:cs="TimesNewRomanPSMT"/>
        </w:rPr>
        <w:t>(128bit/16byte)</w:t>
      </w:r>
      <w:r>
        <w:rPr>
          <w:rFonts w:hint="eastAsia"/>
        </w:rPr>
        <w:t>需填充，如果最末数据分组长度为</w:t>
      </w:r>
      <w:r>
        <w:rPr>
          <w:rFonts w:ascii="TimesNewRomanPSMT" w:hAnsi="TimesNewRomanPSMT" w:cs="TimesNewRomanPSMT"/>
        </w:rPr>
        <w:t>16byte</w:t>
      </w:r>
      <w:r>
        <w:rPr>
          <w:rFonts w:hint="eastAsia"/>
        </w:rPr>
        <w:t>，则在其后填充</w:t>
      </w:r>
      <w:r>
        <w:rPr>
          <w:rFonts w:ascii="TimesNewRomanPSMT" w:hAnsi="TimesNewRomanPSMT" w:cs="TimesNewRomanPSMT"/>
        </w:rPr>
        <w:t xml:space="preserve">16 </w:t>
      </w:r>
      <w:proofErr w:type="gramStart"/>
      <w:r>
        <w:rPr>
          <w:rFonts w:hint="eastAsia"/>
        </w:rPr>
        <w:t>个</w:t>
      </w:r>
      <w:proofErr w:type="gramEnd"/>
      <w:r>
        <w:rPr>
          <w:rFonts w:hint="eastAsia"/>
        </w:rPr>
        <w:t>内容为</w:t>
      </w:r>
      <w:r>
        <w:rPr>
          <w:rFonts w:ascii="TimesNewRomanPSMT" w:hAnsi="TimesNewRomanPSMT" w:cs="TimesNewRomanPSMT"/>
        </w:rPr>
        <w:t xml:space="preserve">16 </w:t>
      </w:r>
      <w:r>
        <w:rPr>
          <w:rFonts w:hint="eastAsia"/>
        </w:rPr>
        <w:t>的</w:t>
      </w:r>
      <w:r>
        <w:rPr>
          <w:rFonts w:ascii="TimesNewRomanPSMT" w:hAnsi="TimesNewRomanPSMT" w:cs="TimesNewRomanPSMT"/>
        </w:rPr>
        <w:t>byte</w:t>
      </w:r>
      <w:r>
        <w:rPr>
          <w:rFonts w:hint="eastAsia"/>
        </w:rPr>
        <w:t>，否则按最末数据分组不足</w:t>
      </w:r>
      <w:r>
        <w:rPr>
          <w:rFonts w:ascii="TimesNewRomanPSMT" w:hAnsi="TimesNewRomanPSMT" w:cs="TimesNewRomanPSMT"/>
        </w:rPr>
        <w:t xml:space="preserve">16byte </w:t>
      </w:r>
      <w:r>
        <w:rPr>
          <w:rFonts w:hint="eastAsia"/>
        </w:rPr>
        <w:t>所缺少的字节个数</w:t>
      </w:r>
      <w:r>
        <w:rPr>
          <w:rFonts w:ascii="TimesNewRomanPSMT" w:hAnsi="TimesNewRomanPSMT" w:cs="TimesNewRomanPSMT"/>
        </w:rPr>
        <w:t>d</w:t>
      </w:r>
      <w:r>
        <w:rPr>
          <w:rFonts w:hint="eastAsia"/>
        </w:rPr>
        <w:t>，填充</w:t>
      </w:r>
      <w:r>
        <w:rPr>
          <w:rFonts w:ascii="TimesNewRomanPSMT" w:hAnsi="TimesNewRomanPSMT" w:cs="TimesNewRomanPSMT"/>
        </w:rPr>
        <w:t xml:space="preserve">d </w:t>
      </w:r>
      <w:proofErr w:type="gramStart"/>
      <w:r>
        <w:rPr>
          <w:rFonts w:hint="eastAsia"/>
        </w:rPr>
        <w:t>个</w:t>
      </w:r>
      <w:proofErr w:type="gramEnd"/>
      <w:r>
        <w:rPr>
          <w:rFonts w:hint="eastAsia"/>
        </w:rPr>
        <w:t>内容为</w:t>
      </w:r>
      <w:r>
        <w:rPr>
          <w:rFonts w:ascii="TimesNewRomanPSMT" w:hAnsi="TimesNewRomanPSMT" w:cs="TimesNewRomanPSMT"/>
        </w:rPr>
        <w:t xml:space="preserve">d </w:t>
      </w:r>
      <w:r>
        <w:rPr>
          <w:rFonts w:hint="eastAsia"/>
        </w:rPr>
        <w:t>的</w:t>
      </w:r>
      <w:r>
        <w:rPr>
          <w:rFonts w:ascii="TimesNewRomanPSMT" w:hAnsi="TimesNewRomanPSMT" w:cs="TimesNewRomanPSMT"/>
        </w:rPr>
        <w:t>byte</w:t>
      </w:r>
      <w:r>
        <w:rPr>
          <w:rFonts w:hint="eastAsia"/>
        </w:rPr>
        <w:t>。</w:t>
      </w:r>
    </w:p>
    <w:p w14:paraId="199090CE" w14:textId="77777777" w:rsidR="009D010F" w:rsidRDefault="009D010F" w:rsidP="00C04048">
      <w:pPr>
        <w:ind w:firstLine="480"/>
      </w:pPr>
      <w:r>
        <w:rPr>
          <w:rFonts w:ascii="TimesNewRomanPSMT" w:hAnsi="TimesNewRomanPSMT" w:cs="TimesNewRomanPSMT"/>
        </w:rPr>
        <w:t xml:space="preserve">SM3 </w:t>
      </w:r>
      <w:r>
        <w:rPr>
          <w:rFonts w:hint="eastAsia"/>
        </w:rPr>
        <w:t>密码杂凑算法，对给定的长度为</w:t>
      </w:r>
      <w:r>
        <w:rPr>
          <w:rFonts w:ascii="TimesNewRomanPSMT" w:hAnsi="TimesNewRomanPSMT" w:cs="TimesNewRomanPSMT"/>
        </w:rPr>
        <w:t>k(k&lt;2</w:t>
      </w:r>
      <w:r>
        <w:rPr>
          <w:rFonts w:ascii="TimesNewRomanPSMT" w:hAnsi="TimesNewRomanPSMT" w:cs="TimesNewRomanPSMT"/>
          <w:sz w:val="12"/>
          <w:szCs w:val="12"/>
        </w:rPr>
        <w:t>64</w:t>
      </w:r>
      <w:r>
        <w:rPr>
          <w:rFonts w:ascii="TimesNewRomanPSMT" w:hAnsi="TimesNewRomanPSMT" w:cs="TimesNewRomanPSMT"/>
        </w:rPr>
        <w:t>)</w:t>
      </w:r>
      <w:r>
        <w:rPr>
          <w:rFonts w:hint="eastAsia"/>
        </w:rPr>
        <w:t>的消息，经填充、迭代压缩和选裁，生成杂凑值，迭代压缩时，输入为预处理的消息分组</w:t>
      </w:r>
      <w:r>
        <w:rPr>
          <w:rFonts w:ascii="TimesNewRomanPSMT" w:hAnsi="TimesNewRomanPSMT" w:cs="TimesNewRomanPSMT"/>
        </w:rPr>
        <w:t>64byte</w:t>
      </w:r>
      <w:r>
        <w:rPr>
          <w:rFonts w:hint="eastAsia"/>
        </w:rPr>
        <w:t>，输出摘要为</w:t>
      </w:r>
      <w:r>
        <w:rPr>
          <w:rFonts w:ascii="TimesNewRomanPSMT" w:hAnsi="TimesNewRomanPSMT" w:cs="TimesNewRomanPSMT"/>
        </w:rPr>
        <w:t>32byte</w:t>
      </w:r>
      <w:r>
        <w:rPr>
          <w:rFonts w:hint="eastAsia"/>
        </w:rPr>
        <w:t>。</w:t>
      </w:r>
      <w:r>
        <w:rPr>
          <w:rFonts w:ascii="TimesNewRomanPSMT" w:hAnsi="TimesNewRomanPSMT" w:cs="TimesNewRomanPSMT"/>
        </w:rPr>
        <w:t xml:space="preserve">HMAC </w:t>
      </w:r>
      <w:r>
        <w:rPr>
          <w:rFonts w:hint="eastAsia"/>
        </w:rPr>
        <w:t>消息认证码算法，利用密码杂凑算法</w:t>
      </w:r>
      <w:r>
        <w:rPr>
          <w:rFonts w:ascii="TimesNewRomanPSMT" w:hAnsi="TimesNewRomanPSMT" w:cs="TimesNewRomanPSMT"/>
        </w:rPr>
        <w:t>SM3</w:t>
      </w:r>
      <w:r>
        <w:rPr>
          <w:rFonts w:hint="eastAsia"/>
        </w:rPr>
        <w:t>，对给定的消息和验证双方共享的密码信息产生长度为</w:t>
      </w:r>
      <w:r>
        <w:rPr>
          <w:rFonts w:ascii="TimesNewRomanPSMT" w:hAnsi="TimesNewRomanPSMT" w:cs="TimesNewRomanPSMT"/>
        </w:rPr>
        <w:t>t(16</w:t>
      </w:r>
      <w:r>
        <w:rPr>
          <w:rFonts w:hint="eastAsia"/>
        </w:rPr>
        <w:t>≦</w:t>
      </w:r>
      <w:r>
        <w:t>t</w:t>
      </w:r>
      <w:r>
        <w:rPr>
          <w:rFonts w:hint="eastAsia"/>
        </w:rPr>
        <w:t>≦</w:t>
      </w:r>
      <w:r>
        <w:rPr>
          <w:rFonts w:ascii="TimesNewRomanPSMT" w:hAnsi="TimesNewRomanPSMT" w:cs="TimesNewRomanPSMT"/>
        </w:rPr>
        <w:t>32)</w:t>
      </w:r>
      <w:proofErr w:type="gramStart"/>
      <w:r>
        <w:rPr>
          <w:rFonts w:hint="eastAsia"/>
        </w:rPr>
        <w:t>个</w:t>
      </w:r>
      <w:proofErr w:type="gramEnd"/>
      <w:r>
        <w:rPr>
          <w:rFonts w:hint="eastAsia"/>
        </w:rPr>
        <w:t>字节的消息验证码，计算公式：</w:t>
      </w:r>
      <w:r>
        <w:rPr>
          <w:rFonts w:ascii="TimesNewRomanPSMT" w:hAnsi="TimesNewRomanPSMT" w:cs="TimesNewRomanPSMT"/>
        </w:rPr>
        <w:t>HMAC</w:t>
      </w:r>
      <w:r>
        <w:rPr>
          <w:rFonts w:hint="eastAsia"/>
        </w:rPr>
        <w:t>＝</w:t>
      </w:r>
      <w:r>
        <w:rPr>
          <w:rFonts w:ascii="TimesNewRomanPSMT" w:hAnsi="TimesNewRomanPSMT" w:cs="TimesNewRomanPSMT"/>
        </w:rPr>
        <w:t>SM3((K</w:t>
      </w:r>
      <w:r>
        <w:rPr>
          <w:rFonts w:ascii="TimesNewRomanPSMT" w:hAnsi="TimesNewRomanPSMT" w:cs="TimesNewRomanPSMT"/>
          <w:sz w:val="12"/>
          <w:szCs w:val="12"/>
        </w:rPr>
        <w:t>0</w:t>
      </w:r>
      <w:r>
        <w:rPr>
          <w:rFonts w:hint="eastAsia"/>
        </w:rPr>
        <w:t>⊕</w:t>
      </w:r>
      <w:proofErr w:type="spellStart"/>
      <w:r>
        <w:rPr>
          <w:rFonts w:ascii="TimesNewRomanPSMT" w:hAnsi="TimesNewRomanPSMT" w:cs="TimesNewRomanPSMT"/>
        </w:rPr>
        <w:t>opad</w:t>
      </w:r>
      <w:proofErr w:type="spellEnd"/>
      <w:r>
        <w:rPr>
          <w:rFonts w:ascii="TimesNewRomanPSMT" w:hAnsi="TimesNewRomanPSMT" w:cs="TimesNewRomanPSMT"/>
        </w:rPr>
        <w:t>) || SM3((K</w:t>
      </w:r>
      <w:r>
        <w:rPr>
          <w:rFonts w:ascii="TimesNewRomanPSMT" w:hAnsi="TimesNewRomanPSMT" w:cs="TimesNewRomanPSMT"/>
          <w:sz w:val="12"/>
          <w:szCs w:val="12"/>
        </w:rPr>
        <w:t>0</w:t>
      </w:r>
      <w:r>
        <w:rPr>
          <w:rFonts w:hint="eastAsia"/>
        </w:rPr>
        <w:t>⊕</w:t>
      </w:r>
      <w:proofErr w:type="spellStart"/>
      <w:r>
        <w:rPr>
          <w:rFonts w:ascii="TimesNewRomanPSMT" w:hAnsi="TimesNewRomanPSMT" w:cs="TimesNewRomanPSMT"/>
        </w:rPr>
        <w:t>ipad</w:t>
      </w:r>
      <w:proofErr w:type="spellEnd"/>
      <w:r>
        <w:rPr>
          <w:rFonts w:ascii="TimesNewRomanPSMT" w:hAnsi="TimesNewRomanPSMT" w:cs="TimesNewRomanPSMT"/>
        </w:rPr>
        <w:t>) || text))</w:t>
      </w:r>
      <w:r>
        <w:rPr>
          <w:rFonts w:ascii="TimesNewRomanPSMT" w:hAnsi="TimesNewRomanPSMT" w:cs="TimesNewRomanPSMT"/>
          <w:sz w:val="12"/>
          <w:szCs w:val="12"/>
        </w:rPr>
        <w:t>[2]</w:t>
      </w:r>
      <w:r>
        <w:rPr>
          <w:rFonts w:hint="eastAsia"/>
        </w:rPr>
        <w:t>，</w:t>
      </w:r>
      <w:r>
        <w:rPr>
          <w:rFonts w:ascii="TimesNewRomanPSMT" w:hAnsi="TimesNewRomanPSMT" w:cs="TimesNewRomanPSMT"/>
        </w:rPr>
        <w:t xml:space="preserve">TCG </w:t>
      </w:r>
      <w:r>
        <w:rPr>
          <w:rFonts w:hint="eastAsia"/>
        </w:rPr>
        <w:t>规范对</w:t>
      </w:r>
      <w:r>
        <w:rPr>
          <w:rFonts w:ascii="TimesNewRomanPSMT" w:hAnsi="TimesNewRomanPSMT" w:cs="TimesNewRomanPSMT"/>
        </w:rPr>
        <w:t xml:space="preserve">TPM </w:t>
      </w:r>
      <w:r>
        <w:rPr>
          <w:rFonts w:hint="eastAsia"/>
        </w:rPr>
        <w:t>要求</w:t>
      </w:r>
    </w:p>
    <w:p w14:paraId="1F5B0D56" w14:textId="5A0FEC6D" w:rsidR="009D010F" w:rsidRPr="009D010F" w:rsidRDefault="009D010F" w:rsidP="00C04048">
      <w:pPr>
        <w:ind w:firstLine="480"/>
      </w:pPr>
      <w:r>
        <w:t xml:space="preserve">HMAC </w:t>
      </w:r>
      <w:r>
        <w:rPr>
          <w:rFonts w:hint="eastAsia"/>
        </w:rPr>
        <w:t>消息认证码算法使用支持</w:t>
      </w:r>
      <w:r>
        <w:t xml:space="preserve">20byte </w:t>
      </w:r>
      <w:r>
        <w:rPr>
          <w:rFonts w:hint="eastAsia"/>
        </w:rPr>
        <w:t>的</w:t>
      </w:r>
      <w:r>
        <w:t xml:space="preserve">SHA-1 </w:t>
      </w:r>
      <w:r>
        <w:rPr>
          <w:rFonts w:hint="eastAsia"/>
        </w:rPr>
        <w:t>算法</w:t>
      </w:r>
      <w:r>
        <w:rPr>
          <w:sz w:val="12"/>
          <w:szCs w:val="12"/>
        </w:rPr>
        <w:t>[3,4]</w:t>
      </w:r>
      <w:r>
        <w:rPr>
          <w:rFonts w:hint="eastAsia"/>
        </w:rPr>
        <w:t>。</w:t>
      </w:r>
      <w:r>
        <w:t>RNG</w:t>
      </w:r>
      <w:r>
        <w:rPr>
          <w:rFonts w:hint="eastAsia"/>
        </w:rPr>
        <w:t>，规范不限定随机数生成的算法，算法</w:t>
      </w:r>
      <w:r w:rsidRPr="005C0D50">
        <w:rPr>
          <w:rFonts w:hint="eastAsia"/>
          <w:sz w:val="28"/>
          <w:szCs w:val="28"/>
        </w:rPr>
        <w:t>由</w:t>
      </w:r>
      <w:r w:rsidRPr="005C0D50">
        <w:rPr>
          <w:sz w:val="28"/>
          <w:szCs w:val="28"/>
        </w:rPr>
        <w:t xml:space="preserve">TCM </w:t>
      </w:r>
      <w:r w:rsidRPr="005C0D50">
        <w:rPr>
          <w:rFonts w:hint="eastAsia"/>
          <w:sz w:val="28"/>
          <w:szCs w:val="28"/>
        </w:rPr>
        <w:t>制造商设计实现，要求所生成的随机数必须为真随机数，并满</w:t>
      </w:r>
      <w:r w:rsidRPr="005C0D50">
        <w:rPr>
          <w:rFonts w:ascii="宋体" w:eastAsia="宋体" w:cs="宋体" w:hint="eastAsia"/>
          <w:kern w:val="0"/>
          <w:sz w:val="28"/>
          <w:szCs w:val="28"/>
        </w:rPr>
        <w:t>足国家商用密码随机数检测要求。</w:t>
      </w:r>
    </w:p>
    <w:p w14:paraId="7B3B5BC4" w14:textId="36D767C1" w:rsidR="005863F7" w:rsidRDefault="009D010F" w:rsidP="009D010F">
      <w:pPr>
        <w:pStyle w:val="a0"/>
        <w:numPr>
          <w:ilvl w:val="0"/>
          <w:numId w:val="10"/>
        </w:numPr>
        <w:ind w:firstLineChars="0"/>
      </w:pPr>
      <w:r>
        <w:rPr>
          <w:rFonts w:hint="eastAsia"/>
        </w:rPr>
        <w:t>构建主动免疫体系</w:t>
      </w:r>
    </w:p>
    <w:p w14:paraId="45F8D547" w14:textId="77777777" w:rsidR="009D010F" w:rsidRDefault="009D010F" w:rsidP="00C04048">
      <w:pPr>
        <w:ind w:firstLine="480"/>
        <w:jc w:val="center"/>
      </w:pPr>
      <w:r w:rsidRPr="00E834DE">
        <w:rPr>
          <w:rFonts w:hint="eastAsia"/>
        </w:rPr>
        <w:t>在双系统体系框架下，采用自主创新的对称非对称相结合的密码体制，作为免疫基因；通过主动</w:t>
      </w:r>
      <w:r>
        <w:rPr>
          <w:rFonts w:hint="eastAsia"/>
        </w:rPr>
        <w:t>度量控制芯片（ＴＰＣＭ</w:t>
      </w:r>
      <w:r w:rsidRPr="00E834DE">
        <w:rPr>
          <w:rFonts w:hint="eastAsia"/>
        </w:rPr>
        <w:t>）植入可信源根，在ＴＣＭ基础上加以信任根控制功能，实现密码与控制相结</w:t>
      </w:r>
      <w:r>
        <w:rPr>
          <w:rFonts w:hint="eastAsia"/>
        </w:rPr>
        <w:t>合，将可信平台控制模块设计为可信计算控制节点，实现了</w:t>
      </w:r>
      <w:r w:rsidRPr="00E834DE">
        <w:rPr>
          <w:rFonts w:hint="eastAsia"/>
        </w:rPr>
        <w:t>ＴＰＣＭ对整个平台的主动控制；在可信平台主板中增加了可信度量节点，实现了计算和可信双节点融合；软件基础</w:t>
      </w:r>
      <w:proofErr w:type="gramStart"/>
      <w:r w:rsidRPr="00E834DE">
        <w:rPr>
          <w:rFonts w:hint="eastAsia"/>
        </w:rPr>
        <w:t>层实现</w:t>
      </w:r>
      <w:proofErr w:type="gramEnd"/>
      <w:r w:rsidRPr="00E834DE">
        <w:rPr>
          <w:rFonts w:hint="eastAsia"/>
        </w:rPr>
        <w:t>宿主操作系统和可信软件基的双重系统核心，通过在操作系统</w:t>
      </w:r>
      <w:proofErr w:type="gramStart"/>
      <w:r w:rsidRPr="00E834DE">
        <w:rPr>
          <w:rFonts w:hint="eastAsia"/>
        </w:rPr>
        <w:t>核心层并一个</w:t>
      </w:r>
      <w:proofErr w:type="gramEnd"/>
      <w:r w:rsidRPr="00E834DE">
        <w:rPr>
          <w:rFonts w:hint="eastAsia"/>
        </w:rPr>
        <w:t>可信的控制软件接管系统调用，在不改变应用软件的前提下实施主动防御；网络层采用三元三层对等的可信连接架构，在访问请求者、访问控制者和策略仲裁者之间进行三重控制和鉴别，对访问请求者和访问控制者实现统一的策略管理，提高系统整体的可信性。</w:t>
      </w:r>
      <w:bookmarkStart w:id="0" w:name="_GoBack"/>
      <w:bookmarkEnd w:id="0"/>
      <w:r>
        <w:rPr>
          <w:noProof/>
        </w:rPr>
        <w:lastRenderedPageBreak/>
        <w:drawing>
          <wp:inline distT="0" distB="0" distL="0" distR="0" wp14:anchorId="006E57EF" wp14:editId="24300C92">
            <wp:extent cx="4829175" cy="3143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175" cy="3143250"/>
                    </a:xfrm>
                    <a:prstGeom prst="rect">
                      <a:avLst/>
                    </a:prstGeom>
                  </pic:spPr>
                </pic:pic>
              </a:graphicData>
            </a:graphic>
          </wp:inline>
        </w:drawing>
      </w:r>
    </w:p>
    <w:p w14:paraId="761AE273" w14:textId="77777777" w:rsidR="009D010F" w:rsidRDefault="009D010F" w:rsidP="009D010F">
      <w:pPr>
        <w:pStyle w:val="a7"/>
        <w:ind w:firstLine="400"/>
        <w:jc w:val="center"/>
      </w:pPr>
      <w:r>
        <w:t xml:space="preserve">Figure </w:t>
      </w:r>
      <w:fldSimple w:instr=" SEQ Figure \* ARABIC ">
        <w:r w:rsidR="00C04048">
          <w:rPr>
            <w:noProof/>
          </w:rPr>
          <w:t>2</w:t>
        </w:r>
      </w:fldSimple>
      <w:r>
        <w:t>主动免疫体系结构</w:t>
      </w:r>
    </w:p>
    <w:p w14:paraId="7D4E1062" w14:textId="77777777" w:rsidR="009D010F" w:rsidRDefault="009D010F" w:rsidP="009D010F">
      <w:pPr>
        <w:ind w:firstLine="480"/>
      </w:pPr>
    </w:p>
    <w:p w14:paraId="41DB155A" w14:textId="491D5D1E" w:rsidR="00182F21" w:rsidRPr="00C161D2" w:rsidRDefault="00182F21" w:rsidP="00182F21">
      <w:pPr>
        <w:ind w:firstLine="480"/>
      </w:pPr>
    </w:p>
    <w:sectPr w:rsidR="00182F21" w:rsidRPr="00C161D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5087C" w14:textId="77777777" w:rsidR="0043232F" w:rsidRDefault="0043232F" w:rsidP="005560CB">
      <w:pPr>
        <w:ind w:firstLine="480"/>
      </w:pPr>
      <w:r>
        <w:separator/>
      </w:r>
    </w:p>
  </w:endnote>
  <w:endnote w:type="continuationSeparator" w:id="0">
    <w:p w14:paraId="1A2F60D0" w14:textId="77777777" w:rsidR="0043232F" w:rsidRDefault="0043232F" w:rsidP="005560C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Y3+ZIfA3D-3">
    <w:altName w:val="HGB1_CNKI"/>
    <w:panose1 w:val="00000000000000000000"/>
    <w:charset w:val="86"/>
    <w:family w:val="auto"/>
    <w:notTrueType/>
    <w:pitch w:val="default"/>
    <w:sig w:usb0="00000001" w:usb1="080E0000" w:usb2="00000010" w:usb3="00000000" w:csb0="00040000" w:csb1="00000000"/>
  </w:font>
  <w:font w:name="B4+CAJSymbolA">
    <w:altName w:val="HGB1_CNKI"/>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472D9" w14:textId="77777777" w:rsidR="008B77B0" w:rsidRDefault="008B77B0" w:rsidP="008B77B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2EB17" w14:textId="77777777" w:rsidR="008B77B0" w:rsidRDefault="008B77B0" w:rsidP="008B77B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474C" w14:textId="77777777" w:rsidR="008B77B0" w:rsidRDefault="008B77B0" w:rsidP="008B77B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338C5" w14:textId="77777777" w:rsidR="0043232F" w:rsidRDefault="0043232F" w:rsidP="005560CB">
      <w:pPr>
        <w:ind w:firstLine="480"/>
      </w:pPr>
      <w:r>
        <w:separator/>
      </w:r>
    </w:p>
  </w:footnote>
  <w:footnote w:type="continuationSeparator" w:id="0">
    <w:p w14:paraId="4360BC0F" w14:textId="77777777" w:rsidR="0043232F" w:rsidRDefault="0043232F" w:rsidP="005560CB">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FF10" w14:textId="77777777" w:rsidR="008B77B0" w:rsidRDefault="008B77B0" w:rsidP="008B77B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A6FF1" w14:textId="77777777" w:rsidR="008B77B0" w:rsidRDefault="008B77B0" w:rsidP="008B77B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183A4" w14:textId="77777777" w:rsidR="008B77B0" w:rsidRDefault="008B77B0" w:rsidP="008B77B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8CA"/>
    <w:multiLevelType w:val="hybridMultilevel"/>
    <w:tmpl w:val="B54CABAE"/>
    <w:lvl w:ilvl="0" w:tplc="9476ED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B060EE"/>
    <w:multiLevelType w:val="multilevel"/>
    <w:tmpl w:val="C6BE07F6"/>
    <w:lvl w:ilvl="0">
      <w:start w:val="1"/>
      <w:numFmt w:val="decimal"/>
      <w:pStyle w:val="1"/>
      <w:lvlText w:val="%1"/>
      <w:lvlJc w:val="left"/>
      <w:pPr>
        <w:ind w:left="425" w:hanging="425"/>
      </w:pPr>
    </w:lvl>
    <w:lvl w:ilvl="1">
      <w:start w:val="1"/>
      <w:numFmt w:val="decimal"/>
      <w:pStyle w:val="11"/>
      <w:lvlText w:val="%1.%2"/>
      <w:lvlJc w:val="left"/>
      <w:pPr>
        <w:ind w:left="992" w:hanging="567"/>
      </w:p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pStyle w:val="11111"/>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A572E01"/>
    <w:multiLevelType w:val="hybridMultilevel"/>
    <w:tmpl w:val="8506AB6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E205D4"/>
    <w:multiLevelType w:val="hybridMultilevel"/>
    <w:tmpl w:val="59F69AA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8DD6869"/>
    <w:multiLevelType w:val="hybridMultilevel"/>
    <w:tmpl w:val="75442796"/>
    <w:lvl w:ilvl="0" w:tplc="7DCA3DC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C7D59C4"/>
    <w:multiLevelType w:val="hybridMultilevel"/>
    <w:tmpl w:val="49D4E00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6B07099"/>
    <w:multiLevelType w:val="hybridMultilevel"/>
    <w:tmpl w:val="CF522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BC15581"/>
    <w:multiLevelType w:val="hybridMultilevel"/>
    <w:tmpl w:val="352C24A0"/>
    <w:lvl w:ilvl="0" w:tplc="8B327258">
      <w:start w:val="1"/>
      <w:numFmt w:val="decimal"/>
      <w:pStyle w:val="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1C22163"/>
    <w:multiLevelType w:val="hybridMultilevel"/>
    <w:tmpl w:val="1D2EC9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78C4606"/>
    <w:multiLevelType w:val="hybridMultilevel"/>
    <w:tmpl w:val="D3DAE2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DD12702"/>
    <w:multiLevelType w:val="multilevel"/>
    <w:tmpl w:val="24C02C02"/>
    <w:lvl w:ilvl="0">
      <w:start w:val="1"/>
      <w:numFmt w:val="chineseCountingThousand"/>
      <w:pStyle w:val="10"/>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78483A47"/>
    <w:multiLevelType w:val="hybridMultilevel"/>
    <w:tmpl w:val="9D04386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8"/>
  </w:num>
  <w:num w:numId="3">
    <w:abstractNumId w:val="7"/>
  </w:num>
  <w:num w:numId="4">
    <w:abstractNumId w:val="9"/>
  </w:num>
  <w:num w:numId="5">
    <w:abstractNumId w:val="11"/>
  </w:num>
  <w:num w:numId="6">
    <w:abstractNumId w:val="3"/>
  </w:num>
  <w:num w:numId="7">
    <w:abstractNumId w:val="5"/>
  </w:num>
  <w:num w:numId="8">
    <w:abstractNumId w:val="2"/>
  </w:num>
  <w:num w:numId="9">
    <w:abstractNumId w:val="6"/>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51"/>
    <w:rsid w:val="00010571"/>
    <w:rsid w:val="00041919"/>
    <w:rsid w:val="0006214C"/>
    <w:rsid w:val="00076187"/>
    <w:rsid w:val="00077186"/>
    <w:rsid w:val="00077E43"/>
    <w:rsid w:val="000A3F13"/>
    <w:rsid w:val="000A4F7D"/>
    <w:rsid w:val="000D7701"/>
    <w:rsid w:val="000E70D1"/>
    <w:rsid w:val="000F7EDF"/>
    <w:rsid w:val="001021EC"/>
    <w:rsid w:val="001052F9"/>
    <w:rsid w:val="0011046E"/>
    <w:rsid w:val="00182F21"/>
    <w:rsid w:val="0018783D"/>
    <w:rsid w:val="001D03B8"/>
    <w:rsid w:val="001D43EE"/>
    <w:rsid w:val="00214515"/>
    <w:rsid w:val="00230C22"/>
    <w:rsid w:val="00231198"/>
    <w:rsid w:val="00236F09"/>
    <w:rsid w:val="0028652F"/>
    <w:rsid w:val="00294C11"/>
    <w:rsid w:val="002C37EC"/>
    <w:rsid w:val="002C6FB0"/>
    <w:rsid w:val="002F11F6"/>
    <w:rsid w:val="002F7DE2"/>
    <w:rsid w:val="00316043"/>
    <w:rsid w:val="00317288"/>
    <w:rsid w:val="003178B5"/>
    <w:rsid w:val="003369DB"/>
    <w:rsid w:val="003661C4"/>
    <w:rsid w:val="003B7E9F"/>
    <w:rsid w:val="003C4CCC"/>
    <w:rsid w:val="004069D2"/>
    <w:rsid w:val="00407045"/>
    <w:rsid w:val="00412942"/>
    <w:rsid w:val="0042018D"/>
    <w:rsid w:val="0043232F"/>
    <w:rsid w:val="00474996"/>
    <w:rsid w:val="00480FF5"/>
    <w:rsid w:val="00492938"/>
    <w:rsid w:val="004E6738"/>
    <w:rsid w:val="00514793"/>
    <w:rsid w:val="005560CB"/>
    <w:rsid w:val="00565AEF"/>
    <w:rsid w:val="005863F7"/>
    <w:rsid w:val="005C0978"/>
    <w:rsid w:val="005D27CB"/>
    <w:rsid w:val="005F4B08"/>
    <w:rsid w:val="006124F4"/>
    <w:rsid w:val="0064258B"/>
    <w:rsid w:val="0064678D"/>
    <w:rsid w:val="006C6555"/>
    <w:rsid w:val="006E7DD2"/>
    <w:rsid w:val="007B108C"/>
    <w:rsid w:val="007B38CE"/>
    <w:rsid w:val="007D10FC"/>
    <w:rsid w:val="007E041F"/>
    <w:rsid w:val="007E1380"/>
    <w:rsid w:val="007F15BA"/>
    <w:rsid w:val="008241D9"/>
    <w:rsid w:val="00824350"/>
    <w:rsid w:val="0084089E"/>
    <w:rsid w:val="008629EE"/>
    <w:rsid w:val="0086636B"/>
    <w:rsid w:val="008717B9"/>
    <w:rsid w:val="008A018E"/>
    <w:rsid w:val="008A0F72"/>
    <w:rsid w:val="008B2580"/>
    <w:rsid w:val="008B77B0"/>
    <w:rsid w:val="008D3C08"/>
    <w:rsid w:val="00997F1E"/>
    <w:rsid w:val="009A6C9F"/>
    <w:rsid w:val="009B7B84"/>
    <w:rsid w:val="009C40FB"/>
    <w:rsid w:val="009D010F"/>
    <w:rsid w:val="00A00898"/>
    <w:rsid w:val="00A47FA1"/>
    <w:rsid w:val="00AC2A51"/>
    <w:rsid w:val="00AD2109"/>
    <w:rsid w:val="00B0572E"/>
    <w:rsid w:val="00B23A29"/>
    <w:rsid w:val="00B3455C"/>
    <w:rsid w:val="00BA044C"/>
    <w:rsid w:val="00BA5216"/>
    <w:rsid w:val="00BC567E"/>
    <w:rsid w:val="00C04048"/>
    <w:rsid w:val="00C10354"/>
    <w:rsid w:val="00C161D2"/>
    <w:rsid w:val="00C4785F"/>
    <w:rsid w:val="00C47C65"/>
    <w:rsid w:val="00C90A36"/>
    <w:rsid w:val="00CA67B4"/>
    <w:rsid w:val="00CB47FA"/>
    <w:rsid w:val="00D56C4D"/>
    <w:rsid w:val="00DE70EC"/>
    <w:rsid w:val="00DF2D26"/>
    <w:rsid w:val="00E31B3D"/>
    <w:rsid w:val="00E32B10"/>
    <w:rsid w:val="00E36821"/>
    <w:rsid w:val="00E47C8A"/>
    <w:rsid w:val="00E77EB3"/>
    <w:rsid w:val="00E834DE"/>
    <w:rsid w:val="00EE7A1B"/>
    <w:rsid w:val="00F227C0"/>
    <w:rsid w:val="00F33BB6"/>
    <w:rsid w:val="00F415FD"/>
    <w:rsid w:val="00F63E89"/>
    <w:rsid w:val="00F70D3A"/>
    <w:rsid w:val="00F75580"/>
    <w:rsid w:val="00F75869"/>
    <w:rsid w:val="00F76279"/>
    <w:rsid w:val="00F87B11"/>
    <w:rsid w:val="00FA1CEB"/>
    <w:rsid w:val="00FA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0FC"/>
    <w:pPr>
      <w:widowControl w:val="0"/>
      <w:spacing w:line="360" w:lineRule="auto"/>
      <w:ind w:firstLineChars="200" w:firstLine="200"/>
      <w:jc w:val="both"/>
    </w:pPr>
    <w:rPr>
      <w:rFonts w:ascii="仿宋" w:eastAsia="仿宋" w:hAnsi="仿宋"/>
      <w:sz w:val="24"/>
    </w:rPr>
  </w:style>
  <w:style w:type="paragraph" w:styleId="10">
    <w:name w:val="heading 1"/>
    <w:basedOn w:val="a"/>
    <w:next w:val="a"/>
    <w:link w:val="1Char"/>
    <w:uiPriority w:val="9"/>
    <w:qFormat/>
    <w:rsid w:val="00474996"/>
    <w:pPr>
      <w:keepNext/>
      <w:keepLines/>
      <w:numPr>
        <w:numId w:val="1"/>
      </w:numPr>
      <w:spacing w:line="720" w:lineRule="auto"/>
      <w:ind w:left="200" w:hangingChars="200" w:hanging="200"/>
      <w:outlineLvl w:val="0"/>
    </w:pPr>
    <w:rPr>
      <w:rFonts w:ascii="黑体" w:eastAsia="黑体" w:hAnsi="黑体"/>
      <w:bCs/>
      <w:kern w:val="44"/>
      <w:sz w:val="32"/>
      <w:szCs w:val="28"/>
    </w:rPr>
  </w:style>
  <w:style w:type="paragraph" w:styleId="2">
    <w:name w:val="heading 2"/>
    <w:basedOn w:val="a"/>
    <w:next w:val="a"/>
    <w:link w:val="2Char"/>
    <w:uiPriority w:val="9"/>
    <w:unhideWhenUsed/>
    <w:qFormat/>
    <w:rsid w:val="00474996"/>
    <w:pPr>
      <w:keepNext/>
      <w:keepLines/>
      <w:spacing w:before="260" w:after="260" w:line="415" w:lineRule="auto"/>
      <w:ind w:left="600" w:hangingChars="200" w:hanging="600"/>
      <w:outlineLvl w:val="1"/>
    </w:pPr>
    <w:rPr>
      <w:rFonts w:asciiTheme="majorHAnsi" w:eastAsia="黑体" w:hAnsiTheme="majorHAnsi" w:cstheme="majorBidi"/>
      <w:bCs/>
      <w:sz w:val="30"/>
      <w:szCs w:val="32"/>
    </w:rPr>
  </w:style>
  <w:style w:type="paragraph" w:styleId="3">
    <w:name w:val="heading 3"/>
    <w:basedOn w:val="a0"/>
    <w:next w:val="a"/>
    <w:link w:val="3Char"/>
    <w:uiPriority w:val="9"/>
    <w:unhideWhenUsed/>
    <w:qFormat/>
    <w:rsid w:val="00407045"/>
    <w:pPr>
      <w:numPr>
        <w:numId w:val="3"/>
      </w:numPr>
      <w:ind w:firstLineChars="0" w:firstLine="0"/>
      <w:outlineLvl w:val="2"/>
    </w:pPr>
  </w:style>
  <w:style w:type="paragraph" w:styleId="4">
    <w:name w:val="heading 4"/>
    <w:basedOn w:val="a"/>
    <w:next w:val="a"/>
    <w:link w:val="4Char"/>
    <w:uiPriority w:val="9"/>
    <w:unhideWhenUsed/>
    <w:qFormat/>
    <w:rsid w:val="00407045"/>
    <w:pPr>
      <w:ind w:firstLine="480"/>
      <w:outlineLvl w:val="3"/>
    </w:pPr>
  </w:style>
  <w:style w:type="paragraph" w:styleId="5">
    <w:name w:val="heading 5"/>
    <w:basedOn w:val="a"/>
    <w:next w:val="a"/>
    <w:link w:val="5Char"/>
    <w:uiPriority w:val="9"/>
    <w:semiHidden/>
    <w:unhideWhenUsed/>
    <w:qFormat/>
    <w:rsid w:val="005560C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560C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560CB"/>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560C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560C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56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60CB"/>
    <w:rPr>
      <w:sz w:val="18"/>
      <w:szCs w:val="18"/>
    </w:rPr>
  </w:style>
  <w:style w:type="paragraph" w:styleId="a5">
    <w:name w:val="footer"/>
    <w:basedOn w:val="a"/>
    <w:link w:val="Char0"/>
    <w:uiPriority w:val="99"/>
    <w:unhideWhenUsed/>
    <w:rsid w:val="005560CB"/>
    <w:pPr>
      <w:tabs>
        <w:tab w:val="center" w:pos="4153"/>
        <w:tab w:val="right" w:pos="8306"/>
      </w:tabs>
      <w:snapToGrid w:val="0"/>
      <w:jc w:val="left"/>
    </w:pPr>
    <w:rPr>
      <w:sz w:val="18"/>
      <w:szCs w:val="18"/>
    </w:rPr>
  </w:style>
  <w:style w:type="character" w:customStyle="1" w:styleId="Char0">
    <w:name w:val="页脚 Char"/>
    <w:basedOn w:val="a1"/>
    <w:link w:val="a5"/>
    <w:uiPriority w:val="99"/>
    <w:rsid w:val="005560CB"/>
    <w:rPr>
      <w:sz w:val="18"/>
      <w:szCs w:val="18"/>
    </w:rPr>
  </w:style>
  <w:style w:type="paragraph" w:styleId="a6">
    <w:name w:val="Normal Indent"/>
    <w:basedOn w:val="a"/>
    <w:qFormat/>
    <w:rsid w:val="007D10FC"/>
    <w:rPr>
      <w:szCs w:val="21"/>
    </w:rPr>
  </w:style>
  <w:style w:type="character" w:customStyle="1" w:styleId="1Char">
    <w:name w:val="标题 1 Char"/>
    <w:basedOn w:val="a1"/>
    <w:link w:val="10"/>
    <w:uiPriority w:val="9"/>
    <w:rsid w:val="00474996"/>
    <w:rPr>
      <w:rFonts w:ascii="黑体" w:eastAsia="黑体" w:hAnsi="黑体"/>
      <w:bCs/>
      <w:kern w:val="44"/>
      <w:sz w:val="32"/>
      <w:szCs w:val="28"/>
    </w:rPr>
  </w:style>
  <w:style w:type="character" w:customStyle="1" w:styleId="2Char">
    <w:name w:val="标题 2 Char"/>
    <w:basedOn w:val="a1"/>
    <w:link w:val="2"/>
    <w:uiPriority w:val="9"/>
    <w:rsid w:val="00474996"/>
    <w:rPr>
      <w:rFonts w:asciiTheme="majorHAnsi" w:eastAsia="黑体" w:hAnsiTheme="majorHAnsi" w:cstheme="majorBidi"/>
      <w:bCs/>
      <w:sz w:val="30"/>
      <w:szCs w:val="32"/>
    </w:rPr>
  </w:style>
  <w:style w:type="character" w:customStyle="1" w:styleId="3Char">
    <w:name w:val="标题 3 Char"/>
    <w:basedOn w:val="a1"/>
    <w:link w:val="3"/>
    <w:uiPriority w:val="9"/>
    <w:rsid w:val="00407045"/>
    <w:rPr>
      <w:rFonts w:ascii="仿宋" w:eastAsia="仿宋" w:hAnsi="仿宋"/>
      <w:sz w:val="24"/>
    </w:rPr>
  </w:style>
  <w:style w:type="character" w:customStyle="1" w:styleId="4Char">
    <w:name w:val="标题 4 Char"/>
    <w:basedOn w:val="a1"/>
    <w:link w:val="4"/>
    <w:uiPriority w:val="9"/>
    <w:rsid w:val="00407045"/>
    <w:rPr>
      <w:rFonts w:ascii="仿宋" w:eastAsia="仿宋" w:hAnsi="仿宋"/>
      <w:sz w:val="24"/>
    </w:rPr>
  </w:style>
  <w:style w:type="character" w:customStyle="1" w:styleId="5Char">
    <w:name w:val="标题 5 Char"/>
    <w:basedOn w:val="a1"/>
    <w:link w:val="5"/>
    <w:uiPriority w:val="9"/>
    <w:semiHidden/>
    <w:rsid w:val="005560CB"/>
    <w:rPr>
      <w:rFonts w:ascii="仿宋" w:eastAsia="仿宋" w:hAnsi="仿宋"/>
      <w:b/>
      <w:bCs/>
      <w:sz w:val="28"/>
      <w:szCs w:val="28"/>
    </w:rPr>
  </w:style>
  <w:style w:type="character" w:customStyle="1" w:styleId="6Char">
    <w:name w:val="标题 6 Char"/>
    <w:basedOn w:val="a1"/>
    <w:link w:val="6"/>
    <w:uiPriority w:val="9"/>
    <w:semiHidden/>
    <w:rsid w:val="005560CB"/>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560CB"/>
    <w:rPr>
      <w:rFonts w:ascii="仿宋" w:eastAsia="仿宋" w:hAnsi="仿宋"/>
      <w:b/>
      <w:bCs/>
      <w:sz w:val="24"/>
      <w:szCs w:val="24"/>
    </w:rPr>
  </w:style>
  <w:style w:type="character" w:customStyle="1" w:styleId="8Char">
    <w:name w:val="标题 8 Char"/>
    <w:basedOn w:val="a1"/>
    <w:link w:val="8"/>
    <w:uiPriority w:val="9"/>
    <w:semiHidden/>
    <w:rsid w:val="005560CB"/>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560CB"/>
    <w:rPr>
      <w:rFonts w:asciiTheme="majorHAnsi" w:eastAsiaTheme="majorEastAsia" w:hAnsiTheme="majorHAnsi" w:cstheme="majorBidi"/>
      <w:szCs w:val="21"/>
    </w:rPr>
  </w:style>
  <w:style w:type="paragraph" w:styleId="a0">
    <w:name w:val="List Paragraph"/>
    <w:basedOn w:val="a"/>
    <w:link w:val="Char1"/>
    <w:uiPriority w:val="34"/>
    <w:qFormat/>
    <w:rsid w:val="008D3C08"/>
    <w:pPr>
      <w:ind w:firstLine="420"/>
    </w:pPr>
  </w:style>
  <w:style w:type="paragraph" w:styleId="a7">
    <w:name w:val="caption"/>
    <w:basedOn w:val="a"/>
    <w:next w:val="a"/>
    <w:uiPriority w:val="35"/>
    <w:unhideWhenUsed/>
    <w:qFormat/>
    <w:rsid w:val="00F70D3A"/>
    <w:rPr>
      <w:rFonts w:asciiTheme="majorHAnsi" w:eastAsia="黑体" w:hAnsiTheme="majorHAnsi" w:cstheme="majorBidi"/>
      <w:sz w:val="20"/>
      <w:szCs w:val="20"/>
    </w:rPr>
  </w:style>
  <w:style w:type="paragraph" w:styleId="a8">
    <w:name w:val="Balloon Text"/>
    <w:basedOn w:val="a"/>
    <w:link w:val="Char2"/>
    <w:uiPriority w:val="99"/>
    <w:semiHidden/>
    <w:unhideWhenUsed/>
    <w:rsid w:val="008B77B0"/>
    <w:rPr>
      <w:sz w:val="18"/>
      <w:szCs w:val="18"/>
    </w:rPr>
  </w:style>
  <w:style w:type="character" w:customStyle="1" w:styleId="Char2">
    <w:name w:val="批注框文本 Char"/>
    <w:basedOn w:val="a1"/>
    <w:link w:val="a8"/>
    <w:uiPriority w:val="99"/>
    <w:semiHidden/>
    <w:rsid w:val="008B77B0"/>
    <w:rPr>
      <w:rFonts w:ascii="仿宋" w:eastAsia="仿宋" w:hAnsi="仿宋"/>
      <w:sz w:val="18"/>
      <w:szCs w:val="18"/>
    </w:rPr>
  </w:style>
  <w:style w:type="paragraph" w:customStyle="1" w:styleId="1">
    <w:name w:val="1"/>
    <w:basedOn w:val="a0"/>
    <w:qFormat/>
    <w:rsid w:val="00041919"/>
    <w:pPr>
      <w:numPr>
        <w:numId w:val="11"/>
      </w:numPr>
      <w:ind w:firstLineChars="0" w:firstLine="0"/>
      <w:outlineLvl w:val="0"/>
    </w:pPr>
    <w:rPr>
      <w:rFonts w:ascii="黑体" w:eastAsia="黑体" w:hAnsi="黑体"/>
      <w:b/>
      <w:sz w:val="28"/>
      <w:szCs w:val="28"/>
    </w:rPr>
  </w:style>
  <w:style w:type="paragraph" w:customStyle="1" w:styleId="11">
    <w:name w:val="1.1"/>
    <w:basedOn w:val="1"/>
    <w:qFormat/>
    <w:rsid w:val="00041919"/>
    <w:pPr>
      <w:numPr>
        <w:ilvl w:val="1"/>
      </w:numPr>
      <w:outlineLvl w:val="1"/>
    </w:pPr>
  </w:style>
  <w:style w:type="character" w:customStyle="1" w:styleId="Char1">
    <w:name w:val="列出段落 Char"/>
    <w:basedOn w:val="a1"/>
    <w:link w:val="a0"/>
    <w:uiPriority w:val="34"/>
    <w:rsid w:val="00041919"/>
    <w:rPr>
      <w:rFonts w:ascii="仿宋" w:eastAsia="仿宋" w:hAnsi="仿宋"/>
      <w:sz w:val="24"/>
    </w:rPr>
  </w:style>
  <w:style w:type="paragraph" w:customStyle="1" w:styleId="111">
    <w:name w:val="1.1.1"/>
    <w:basedOn w:val="11"/>
    <w:link w:val="111Char"/>
    <w:qFormat/>
    <w:rsid w:val="00041919"/>
    <w:pPr>
      <w:numPr>
        <w:ilvl w:val="2"/>
      </w:numPr>
      <w:outlineLvl w:val="2"/>
    </w:pPr>
  </w:style>
  <w:style w:type="paragraph" w:customStyle="1" w:styleId="1111">
    <w:name w:val="1.1.1.1"/>
    <w:basedOn w:val="11"/>
    <w:link w:val="1111Char"/>
    <w:qFormat/>
    <w:rsid w:val="00041919"/>
    <w:pPr>
      <w:numPr>
        <w:ilvl w:val="3"/>
      </w:numPr>
      <w:ind w:left="1985" w:hanging="709"/>
      <w:outlineLvl w:val="3"/>
    </w:pPr>
  </w:style>
  <w:style w:type="character" w:customStyle="1" w:styleId="111Char">
    <w:name w:val="1.1.1 Char"/>
    <w:basedOn w:val="a1"/>
    <w:link w:val="111"/>
    <w:rsid w:val="00041919"/>
    <w:rPr>
      <w:rFonts w:ascii="黑体" w:eastAsia="黑体" w:hAnsi="黑体"/>
      <w:b/>
      <w:sz w:val="28"/>
      <w:szCs w:val="28"/>
    </w:rPr>
  </w:style>
  <w:style w:type="paragraph" w:customStyle="1" w:styleId="11111">
    <w:name w:val="1.1.1.1.1"/>
    <w:basedOn w:val="1111"/>
    <w:qFormat/>
    <w:rsid w:val="00041919"/>
    <w:pPr>
      <w:numPr>
        <w:ilvl w:val="4"/>
      </w:numPr>
      <w:ind w:left="2552" w:hanging="851"/>
      <w:outlineLvl w:val="4"/>
    </w:pPr>
  </w:style>
  <w:style w:type="character" w:customStyle="1" w:styleId="1111Char">
    <w:name w:val="1.1.1.1 Char"/>
    <w:basedOn w:val="a1"/>
    <w:link w:val="1111"/>
    <w:rsid w:val="007D10FC"/>
    <w:rPr>
      <w:rFonts w:ascii="黑体" w:eastAsia="黑体" w:hAnsi="黑体"/>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0FC"/>
    <w:pPr>
      <w:widowControl w:val="0"/>
      <w:spacing w:line="360" w:lineRule="auto"/>
      <w:ind w:firstLineChars="200" w:firstLine="200"/>
      <w:jc w:val="both"/>
    </w:pPr>
    <w:rPr>
      <w:rFonts w:ascii="仿宋" w:eastAsia="仿宋" w:hAnsi="仿宋"/>
      <w:sz w:val="24"/>
    </w:rPr>
  </w:style>
  <w:style w:type="paragraph" w:styleId="10">
    <w:name w:val="heading 1"/>
    <w:basedOn w:val="a"/>
    <w:next w:val="a"/>
    <w:link w:val="1Char"/>
    <w:uiPriority w:val="9"/>
    <w:qFormat/>
    <w:rsid w:val="00474996"/>
    <w:pPr>
      <w:keepNext/>
      <w:keepLines/>
      <w:numPr>
        <w:numId w:val="1"/>
      </w:numPr>
      <w:spacing w:line="720" w:lineRule="auto"/>
      <w:ind w:left="200" w:hangingChars="200" w:hanging="200"/>
      <w:outlineLvl w:val="0"/>
    </w:pPr>
    <w:rPr>
      <w:rFonts w:ascii="黑体" w:eastAsia="黑体" w:hAnsi="黑体"/>
      <w:bCs/>
      <w:kern w:val="44"/>
      <w:sz w:val="32"/>
      <w:szCs w:val="28"/>
    </w:rPr>
  </w:style>
  <w:style w:type="paragraph" w:styleId="2">
    <w:name w:val="heading 2"/>
    <w:basedOn w:val="a"/>
    <w:next w:val="a"/>
    <w:link w:val="2Char"/>
    <w:uiPriority w:val="9"/>
    <w:unhideWhenUsed/>
    <w:qFormat/>
    <w:rsid w:val="00474996"/>
    <w:pPr>
      <w:keepNext/>
      <w:keepLines/>
      <w:spacing w:before="260" w:after="260" w:line="415" w:lineRule="auto"/>
      <w:ind w:left="600" w:hangingChars="200" w:hanging="600"/>
      <w:outlineLvl w:val="1"/>
    </w:pPr>
    <w:rPr>
      <w:rFonts w:asciiTheme="majorHAnsi" w:eastAsia="黑体" w:hAnsiTheme="majorHAnsi" w:cstheme="majorBidi"/>
      <w:bCs/>
      <w:sz w:val="30"/>
      <w:szCs w:val="32"/>
    </w:rPr>
  </w:style>
  <w:style w:type="paragraph" w:styleId="3">
    <w:name w:val="heading 3"/>
    <w:basedOn w:val="a0"/>
    <w:next w:val="a"/>
    <w:link w:val="3Char"/>
    <w:uiPriority w:val="9"/>
    <w:unhideWhenUsed/>
    <w:qFormat/>
    <w:rsid w:val="00407045"/>
    <w:pPr>
      <w:numPr>
        <w:numId w:val="3"/>
      </w:numPr>
      <w:ind w:firstLineChars="0" w:firstLine="0"/>
      <w:outlineLvl w:val="2"/>
    </w:pPr>
  </w:style>
  <w:style w:type="paragraph" w:styleId="4">
    <w:name w:val="heading 4"/>
    <w:basedOn w:val="a"/>
    <w:next w:val="a"/>
    <w:link w:val="4Char"/>
    <w:uiPriority w:val="9"/>
    <w:unhideWhenUsed/>
    <w:qFormat/>
    <w:rsid w:val="00407045"/>
    <w:pPr>
      <w:ind w:firstLine="480"/>
      <w:outlineLvl w:val="3"/>
    </w:pPr>
  </w:style>
  <w:style w:type="paragraph" w:styleId="5">
    <w:name w:val="heading 5"/>
    <w:basedOn w:val="a"/>
    <w:next w:val="a"/>
    <w:link w:val="5Char"/>
    <w:uiPriority w:val="9"/>
    <w:semiHidden/>
    <w:unhideWhenUsed/>
    <w:qFormat/>
    <w:rsid w:val="005560C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560C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560CB"/>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560C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560C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56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60CB"/>
    <w:rPr>
      <w:sz w:val="18"/>
      <w:szCs w:val="18"/>
    </w:rPr>
  </w:style>
  <w:style w:type="paragraph" w:styleId="a5">
    <w:name w:val="footer"/>
    <w:basedOn w:val="a"/>
    <w:link w:val="Char0"/>
    <w:uiPriority w:val="99"/>
    <w:unhideWhenUsed/>
    <w:rsid w:val="005560CB"/>
    <w:pPr>
      <w:tabs>
        <w:tab w:val="center" w:pos="4153"/>
        <w:tab w:val="right" w:pos="8306"/>
      </w:tabs>
      <w:snapToGrid w:val="0"/>
      <w:jc w:val="left"/>
    </w:pPr>
    <w:rPr>
      <w:sz w:val="18"/>
      <w:szCs w:val="18"/>
    </w:rPr>
  </w:style>
  <w:style w:type="character" w:customStyle="1" w:styleId="Char0">
    <w:name w:val="页脚 Char"/>
    <w:basedOn w:val="a1"/>
    <w:link w:val="a5"/>
    <w:uiPriority w:val="99"/>
    <w:rsid w:val="005560CB"/>
    <w:rPr>
      <w:sz w:val="18"/>
      <w:szCs w:val="18"/>
    </w:rPr>
  </w:style>
  <w:style w:type="paragraph" w:styleId="a6">
    <w:name w:val="Normal Indent"/>
    <w:basedOn w:val="a"/>
    <w:qFormat/>
    <w:rsid w:val="007D10FC"/>
    <w:rPr>
      <w:szCs w:val="21"/>
    </w:rPr>
  </w:style>
  <w:style w:type="character" w:customStyle="1" w:styleId="1Char">
    <w:name w:val="标题 1 Char"/>
    <w:basedOn w:val="a1"/>
    <w:link w:val="10"/>
    <w:uiPriority w:val="9"/>
    <w:rsid w:val="00474996"/>
    <w:rPr>
      <w:rFonts w:ascii="黑体" w:eastAsia="黑体" w:hAnsi="黑体"/>
      <w:bCs/>
      <w:kern w:val="44"/>
      <w:sz w:val="32"/>
      <w:szCs w:val="28"/>
    </w:rPr>
  </w:style>
  <w:style w:type="character" w:customStyle="1" w:styleId="2Char">
    <w:name w:val="标题 2 Char"/>
    <w:basedOn w:val="a1"/>
    <w:link w:val="2"/>
    <w:uiPriority w:val="9"/>
    <w:rsid w:val="00474996"/>
    <w:rPr>
      <w:rFonts w:asciiTheme="majorHAnsi" w:eastAsia="黑体" w:hAnsiTheme="majorHAnsi" w:cstheme="majorBidi"/>
      <w:bCs/>
      <w:sz w:val="30"/>
      <w:szCs w:val="32"/>
    </w:rPr>
  </w:style>
  <w:style w:type="character" w:customStyle="1" w:styleId="3Char">
    <w:name w:val="标题 3 Char"/>
    <w:basedOn w:val="a1"/>
    <w:link w:val="3"/>
    <w:uiPriority w:val="9"/>
    <w:rsid w:val="00407045"/>
    <w:rPr>
      <w:rFonts w:ascii="仿宋" w:eastAsia="仿宋" w:hAnsi="仿宋"/>
      <w:sz w:val="24"/>
    </w:rPr>
  </w:style>
  <w:style w:type="character" w:customStyle="1" w:styleId="4Char">
    <w:name w:val="标题 4 Char"/>
    <w:basedOn w:val="a1"/>
    <w:link w:val="4"/>
    <w:uiPriority w:val="9"/>
    <w:rsid w:val="00407045"/>
    <w:rPr>
      <w:rFonts w:ascii="仿宋" w:eastAsia="仿宋" w:hAnsi="仿宋"/>
      <w:sz w:val="24"/>
    </w:rPr>
  </w:style>
  <w:style w:type="character" w:customStyle="1" w:styleId="5Char">
    <w:name w:val="标题 5 Char"/>
    <w:basedOn w:val="a1"/>
    <w:link w:val="5"/>
    <w:uiPriority w:val="9"/>
    <w:semiHidden/>
    <w:rsid w:val="005560CB"/>
    <w:rPr>
      <w:rFonts w:ascii="仿宋" w:eastAsia="仿宋" w:hAnsi="仿宋"/>
      <w:b/>
      <w:bCs/>
      <w:sz w:val="28"/>
      <w:szCs w:val="28"/>
    </w:rPr>
  </w:style>
  <w:style w:type="character" w:customStyle="1" w:styleId="6Char">
    <w:name w:val="标题 6 Char"/>
    <w:basedOn w:val="a1"/>
    <w:link w:val="6"/>
    <w:uiPriority w:val="9"/>
    <w:semiHidden/>
    <w:rsid w:val="005560CB"/>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560CB"/>
    <w:rPr>
      <w:rFonts w:ascii="仿宋" w:eastAsia="仿宋" w:hAnsi="仿宋"/>
      <w:b/>
      <w:bCs/>
      <w:sz w:val="24"/>
      <w:szCs w:val="24"/>
    </w:rPr>
  </w:style>
  <w:style w:type="character" w:customStyle="1" w:styleId="8Char">
    <w:name w:val="标题 8 Char"/>
    <w:basedOn w:val="a1"/>
    <w:link w:val="8"/>
    <w:uiPriority w:val="9"/>
    <w:semiHidden/>
    <w:rsid w:val="005560CB"/>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560CB"/>
    <w:rPr>
      <w:rFonts w:asciiTheme="majorHAnsi" w:eastAsiaTheme="majorEastAsia" w:hAnsiTheme="majorHAnsi" w:cstheme="majorBidi"/>
      <w:szCs w:val="21"/>
    </w:rPr>
  </w:style>
  <w:style w:type="paragraph" w:styleId="a0">
    <w:name w:val="List Paragraph"/>
    <w:basedOn w:val="a"/>
    <w:link w:val="Char1"/>
    <w:uiPriority w:val="34"/>
    <w:qFormat/>
    <w:rsid w:val="008D3C08"/>
    <w:pPr>
      <w:ind w:firstLine="420"/>
    </w:pPr>
  </w:style>
  <w:style w:type="paragraph" w:styleId="a7">
    <w:name w:val="caption"/>
    <w:basedOn w:val="a"/>
    <w:next w:val="a"/>
    <w:uiPriority w:val="35"/>
    <w:unhideWhenUsed/>
    <w:qFormat/>
    <w:rsid w:val="00F70D3A"/>
    <w:rPr>
      <w:rFonts w:asciiTheme="majorHAnsi" w:eastAsia="黑体" w:hAnsiTheme="majorHAnsi" w:cstheme="majorBidi"/>
      <w:sz w:val="20"/>
      <w:szCs w:val="20"/>
    </w:rPr>
  </w:style>
  <w:style w:type="paragraph" w:styleId="a8">
    <w:name w:val="Balloon Text"/>
    <w:basedOn w:val="a"/>
    <w:link w:val="Char2"/>
    <w:uiPriority w:val="99"/>
    <w:semiHidden/>
    <w:unhideWhenUsed/>
    <w:rsid w:val="008B77B0"/>
    <w:rPr>
      <w:sz w:val="18"/>
      <w:szCs w:val="18"/>
    </w:rPr>
  </w:style>
  <w:style w:type="character" w:customStyle="1" w:styleId="Char2">
    <w:name w:val="批注框文本 Char"/>
    <w:basedOn w:val="a1"/>
    <w:link w:val="a8"/>
    <w:uiPriority w:val="99"/>
    <w:semiHidden/>
    <w:rsid w:val="008B77B0"/>
    <w:rPr>
      <w:rFonts w:ascii="仿宋" w:eastAsia="仿宋" w:hAnsi="仿宋"/>
      <w:sz w:val="18"/>
      <w:szCs w:val="18"/>
    </w:rPr>
  </w:style>
  <w:style w:type="paragraph" w:customStyle="1" w:styleId="1">
    <w:name w:val="1"/>
    <w:basedOn w:val="a0"/>
    <w:qFormat/>
    <w:rsid w:val="00041919"/>
    <w:pPr>
      <w:numPr>
        <w:numId w:val="11"/>
      </w:numPr>
      <w:ind w:firstLineChars="0" w:firstLine="0"/>
      <w:outlineLvl w:val="0"/>
    </w:pPr>
    <w:rPr>
      <w:rFonts w:ascii="黑体" w:eastAsia="黑体" w:hAnsi="黑体"/>
      <w:b/>
      <w:sz w:val="28"/>
      <w:szCs w:val="28"/>
    </w:rPr>
  </w:style>
  <w:style w:type="paragraph" w:customStyle="1" w:styleId="11">
    <w:name w:val="1.1"/>
    <w:basedOn w:val="1"/>
    <w:qFormat/>
    <w:rsid w:val="00041919"/>
    <w:pPr>
      <w:numPr>
        <w:ilvl w:val="1"/>
      </w:numPr>
      <w:outlineLvl w:val="1"/>
    </w:pPr>
  </w:style>
  <w:style w:type="character" w:customStyle="1" w:styleId="Char1">
    <w:name w:val="列出段落 Char"/>
    <w:basedOn w:val="a1"/>
    <w:link w:val="a0"/>
    <w:uiPriority w:val="34"/>
    <w:rsid w:val="00041919"/>
    <w:rPr>
      <w:rFonts w:ascii="仿宋" w:eastAsia="仿宋" w:hAnsi="仿宋"/>
      <w:sz w:val="24"/>
    </w:rPr>
  </w:style>
  <w:style w:type="paragraph" w:customStyle="1" w:styleId="111">
    <w:name w:val="1.1.1"/>
    <w:basedOn w:val="11"/>
    <w:link w:val="111Char"/>
    <w:qFormat/>
    <w:rsid w:val="00041919"/>
    <w:pPr>
      <w:numPr>
        <w:ilvl w:val="2"/>
      </w:numPr>
      <w:outlineLvl w:val="2"/>
    </w:pPr>
  </w:style>
  <w:style w:type="paragraph" w:customStyle="1" w:styleId="1111">
    <w:name w:val="1.1.1.1"/>
    <w:basedOn w:val="11"/>
    <w:link w:val="1111Char"/>
    <w:qFormat/>
    <w:rsid w:val="00041919"/>
    <w:pPr>
      <w:numPr>
        <w:ilvl w:val="3"/>
      </w:numPr>
      <w:ind w:left="1985" w:hanging="709"/>
      <w:outlineLvl w:val="3"/>
    </w:pPr>
  </w:style>
  <w:style w:type="character" w:customStyle="1" w:styleId="111Char">
    <w:name w:val="1.1.1 Char"/>
    <w:basedOn w:val="a1"/>
    <w:link w:val="111"/>
    <w:rsid w:val="00041919"/>
    <w:rPr>
      <w:rFonts w:ascii="黑体" w:eastAsia="黑体" w:hAnsi="黑体"/>
      <w:b/>
      <w:sz w:val="28"/>
      <w:szCs w:val="28"/>
    </w:rPr>
  </w:style>
  <w:style w:type="paragraph" w:customStyle="1" w:styleId="11111">
    <w:name w:val="1.1.1.1.1"/>
    <w:basedOn w:val="1111"/>
    <w:qFormat/>
    <w:rsid w:val="00041919"/>
    <w:pPr>
      <w:numPr>
        <w:ilvl w:val="4"/>
      </w:numPr>
      <w:ind w:left="2552" w:hanging="851"/>
      <w:outlineLvl w:val="4"/>
    </w:pPr>
  </w:style>
  <w:style w:type="character" w:customStyle="1" w:styleId="1111Char">
    <w:name w:val="1.1.1.1 Char"/>
    <w:basedOn w:val="a1"/>
    <w:link w:val="1111"/>
    <w:rsid w:val="007D10FC"/>
    <w:rPr>
      <w:rFonts w:ascii="黑体" w:eastAsia="黑体" w:hAnsi="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9637-00C1-418B-9435-A186960F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aoqi</dc:creator>
  <cp:keywords/>
  <dc:description/>
  <cp:lastModifiedBy>chenxun</cp:lastModifiedBy>
  <cp:revision>64</cp:revision>
  <dcterms:created xsi:type="dcterms:W3CDTF">2020-05-12T01:31:00Z</dcterms:created>
  <dcterms:modified xsi:type="dcterms:W3CDTF">2020-06-03T03:00:00Z</dcterms:modified>
</cp:coreProperties>
</file>