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SmartDesk AI Scenario Test Report</w:t>
      </w:r>
    </w:p>
    <w:p>
      <w:pPr>
        <w:spacing w:after="240"/>
      </w:pPr>
      <w:r>
        <w:rPr>
          <w:color w:val="576778"/>
          <w:sz w:val="20"/>
        </w:rPr>
        <w:t>Build verification  |  October 11, 2026</w:t>
      </w:r>
    </w:p>
    <w:p>
      <w:pPr>
        <w:spacing w:after="200"/>
      </w:pPr>
      <w:r>
        <w:rPr>
          <w:b/>
        </w:rPr>
        <w:t xml:space="preserve">24 automated tests passed with no failures. </w:t>
      </w:r>
      <w:r>
        <w:t>The suite covers knowledge retrieval, ticket workflows, Jira adapter behavior, configuration, and error handling. A separate retrieval smoke check also passed.</w:t>
      </w:r>
    </w:p>
    <w:p>
      <w:pPr>
        <w:pStyle w:val="Heading1"/>
      </w:pPr>
      <w:r>
        <w:t>Test results</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6336"/>
            <w:vAlign w:val="center"/>
          </w:tcPr>
          <w:p>
            <w:r>
              <w:rPr>
                <w:b/>
                <w:color w:val="FFFFFF"/>
              </w:rPr>
              <w:t>Test area</w:t>
            </w:r>
          </w:p>
        </w:tc>
        <w:tc>
          <w:tcPr>
            <w:tcW w:type="dxa" w:w="1037"/>
            <w:vAlign w:val="center"/>
          </w:tcPr>
          <w:p>
            <w:r>
              <w:rPr>
                <w:b/>
                <w:color w:val="FFFFFF"/>
              </w:rPr>
              <w:t>Run</w:t>
            </w:r>
          </w:p>
        </w:tc>
        <w:tc>
          <w:tcPr>
            <w:tcW w:type="dxa" w:w="1037"/>
            <w:vAlign w:val="center"/>
          </w:tcPr>
          <w:p>
            <w:r>
              <w:rPr>
                <w:b/>
                <w:color w:val="FFFFFF"/>
              </w:rPr>
              <w:t>Passed</w:t>
            </w:r>
          </w:p>
        </w:tc>
        <w:tc>
          <w:tcPr>
            <w:tcW w:type="dxa" w:w="1037"/>
            <w:vAlign w:val="center"/>
          </w:tcPr>
          <w:p>
            <w:r>
              <w:rPr>
                <w:b/>
                <w:color w:val="FFFFFF"/>
              </w:rPr>
              <w:t>Failed</w:t>
            </w:r>
          </w:p>
        </w:tc>
      </w:tr>
      <w:tr>
        <w:tc>
          <w:tcPr>
            <w:tcW w:type="dxa" w:w="6336"/>
            <w:vAlign w:val="center"/>
          </w:tcPr>
          <w:p>
            <w:pPr>
              <w:spacing w:after="40"/>
            </w:pPr>
            <w:r>
              <w:rPr>
                <w:sz w:val="18"/>
              </w:rPr>
              <w:t>Knowledge base and retrieval</w:t>
            </w:r>
          </w:p>
        </w:tc>
        <w:tc>
          <w:tcPr>
            <w:tcW w:type="dxa" w:w="1037"/>
            <w:vAlign w:val="center"/>
          </w:tcPr>
          <w:p>
            <w:pPr>
              <w:spacing w:after="40"/>
            </w:pPr>
            <w:r>
              <w:rPr>
                <w:sz w:val="18"/>
              </w:rPr>
              <w:t>5</w:t>
            </w:r>
          </w:p>
        </w:tc>
        <w:tc>
          <w:tcPr>
            <w:tcW w:type="dxa" w:w="1037"/>
            <w:vAlign w:val="center"/>
          </w:tcPr>
          <w:p>
            <w:pPr>
              <w:spacing w:after="40"/>
            </w:pPr>
            <w:r>
              <w:rPr>
                <w:sz w:val="18"/>
              </w:rPr>
              <w:t>5</w:t>
            </w:r>
          </w:p>
        </w:tc>
        <w:tc>
          <w:tcPr>
            <w:tcW w:type="dxa" w:w="1037"/>
            <w:vAlign w:val="center"/>
          </w:tcPr>
          <w:p>
            <w:pPr>
              <w:spacing w:after="40"/>
            </w:pPr>
            <w:r>
              <w:rPr>
                <w:sz w:val="18"/>
              </w:rPr>
              <w:t>0</w:t>
            </w:r>
          </w:p>
        </w:tc>
      </w:tr>
      <w:tr>
        <w:tc>
          <w:tcPr>
            <w:tcW w:type="dxa" w:w="6336"/>
            <w:vAlign w:val="center"/>
          </w:tcPr>
          <w:p>
            <w:pPr>
              <w:spacing w:after="40"/>
            </w:pPr>
            <w:r>
              <w:rPr>
                <w:sz w:val="18"/>
              </w:rPr>
              <w:t>Ticket workflow, validation, and confirmation</w:t>
            </w:r>
          </w:p>
        </w:tc>
        <w:tc>
          <w:tcPr>
            <w:tcW w:type="dxa" w:w="1037"/>
            <w:vAlign w:val="center"/>
          </w:tcPr>
          <w:p>
            <w:pPr>
              <w:spacing w:after="40"/>
            </w:pPr>
            <w:r>
              <w:rPr>
                <w:sz w:val="18"/>
              </w:rPr>
              <w:t>11</w:t>
            </w:r>
          </w:p>
        </w:tc>
        <w:tc>
          <w:tcPr>
            <w:tcW w:type="dxa" w:w="1037"/>
            <w:vAlign w:val="center"/>
          </w:tcPr>
          <w:p>
            <w:pPr>
              <w:spacing w:after="40"/>
            </w:pPr>
            <w:r>
              <w:rPr>
                <w:sz w:val="18"/>
              </w:rPr>
              <w:t>11</w:t>
            </w:r>
          </w:p>
        </w:tc>
        <w:tc>
          <w:tcPr>
            <w:tcW w:type="dxa" w:w="1037"/>
            <w:vAlign w:val="center"/>
          </w:tcPr>
          <w:p>
            <w:pPr>
              <w:spacing w:after="40"/>
            </w:pPr>
            <w:r>
              <w:rPr>
                <w:sz w:val="18"/>
              </w:rPr>
              <w:t>0</w:t>
            </w:r>
          </w:p>
        </w:tc>
      </w:tr>
      <w:tr>
        <w:tc>
          <w:tcPr>
            <w:tcW w:type="dxa" w:w="6336"/>
            <w:vAlign w:val="center"/>
          </w:tcPr>
          <w:p>
            <w:pPr>
              <w:spacing w:after="40"/>
            </w:pPr>
            <w:r>
              <w:rPr>
                <w:sz w:val="18"/>
              </w:rPr>
              <w:t>Jira adapter and service errors</w:t>
            </w:r>
          </w:p>
        </w:tc>
        <w:tc>
          <w:tcPr>
            <w:tcW w:type="dxa" w:w="1037"/>
            <w:vAlign w:val="center"/>
          </w:tcPr>
          <w:p>
            <w:pPr>
              <w:spacing w:after="40"/>
            </w:pPr>
            <w:r>
              <w:rPr>
                <w:sz w:val="18"/>
              </w:rPr>
              <w:t>4</w:t>
            </w:r>
          </w:p>
        </w:tc>
        <w:tc>
          <w:tcPr>
            <w:tcW w:type="dxa" w:w="1037"/>
            <w:vAlign w:val="center"/>
          </w:tcPr>
          <w:p>
            <w:pPr>
              <w:spacing w:after="40"/>
            </w:pPr>
            <w:r>
              <w:rPr>
                <w:sz w:val="18"/>
              </w:rPr>
              <w:t>4</w:t>
            </w:r>
          </w:p>
        </w:tc>
        <w:tc>
          <w:tcPr>
            <w:tcW w:type="dxa" w:w="1037"/>
            <w:vAlign w:val="center"/>
          </w:tcPr>
          <w:p>
            <w:pPr>
              <w:spacing w:after="40"/>
            </w:pPr>
            <w:r>
              <w:rPr>
                <w:sz w:val="18"/>
              </w:rPr>
              <w:t>0</w:t>
            </w:r>
          </w:p>
        </w:tc>
      </w:tr>
      <w:tr>
        <w:tc>
          <w:tcPr>
            <w:tcW w:type="dxa" w:w="6336"/>
            <w:vAlign w:val="center"/>
          </w:tcPr>
          <w:p>
            <w:pPr>
              <w:spacing w:after="40"/>
            </w:pPr>
            <w:r>
              <w:rPr>
                <w:sz w:val="18"/>
              </w:rPr>
              <w:t>Agent definition and credential handling</w:t>
            </w:r>
          </w:p>
        </w:tc>
        <w:tc>
          <w:tcPr>
            <w:tcW w:type="dxa" w:w="1037"/>
            <w:vAlign w:val="center"/>
          </w:tcPr>
          <w:p>
            <w:pPr>
              <w:spacing w:after="40"/>
            </w:pPr>
            <w:r>
              <w:rPr>
                <w:sz w:val="18"/>
              </w:rPr>
              <w:t>2</w:t>
            </w:r>
          </w:p>
        </w:tc>
        <w:tc>
          <w:tcPr>
            <w:tcW w:type="dxa" w:w="1037"/>
            <w:vAlign w:val="center"/>
          </w:tcPr>
          <w:p>
            <w:pPr>
              <w:spacing w:after="40"/>
            </w:pPr>
            <w:r>
              <w:rPr>
                <w:sz w:val="18"/>
              </w:rPr>
              <w:t>2</w:t>
            </w:r>
          </w:p>
        </w:tc>
        <w:tc>
          <w:tcPr>
            <w:tcW w:type="dxa" w:w="1037"/>
            <w:vAlign w:val="center"/>
          </w:tcPr>
          <w:p>
            <w:pPr>
              <w:spacing w:after="40"/>
            </w:pPr>
            <w:r>
              <w:rPr>
                <w:sz w:val="18"/>
              </w:rPr>
              <w:t>0</w:t>
            </w:r>
          </w:p>
        </w:tc>
      </w:tr>
      <w:tr>
        <w:tc>
          <w:tcPr>
            <w:tcW w:type="dxa" w:w="6336"/>
            <w:vAlign w:val="center"/>
          </w:tcPr>
          <w:p>
            <w:pPr>
              <w:spacing w:after="40"/>
            </w:pPr>
            <w:r>
              <w:rPr>
                <w:sz w:val="18"/>
              </w:rPr>
              <w:t>Configuration and portability</w:t>
            </w:r>
          </w:p>
        </w:tc>
        <w:tc>
          <w:tcPr>
            <w:tcW w:type="dxa" w:w="1037"/>
            <w:vAlign w:val="center"/>
          </w:tcPr>
          <w:p>
            <w:pPr>
              <w:spacing w:after="40"/>
            </w:pPr>
            <w:r>
              <w:rPr>
                <w:sz w:val="18"/>
              </w:rPr>
              <w:t>2</w:t>
            </w:r>
          </w:p>
        </w:tc>
        <w:tc>
          <w:tcPr>
            <w:tcW w:type="dxa" w:w="1037"/>
            <w:vAlign w:val="center"/>
          </w:tcPr>
          <w:p>
            <w:pPr>
              <w:spacing w:after="40"/>
            </w:pPr>
            <w:r>
              <w:rPr>
                <w:sz w:val="18"/>
              </w:rPr>
              <w:t>2</w:t>
            </w:r>
          </w:p>
        </w:tc>
        <w:tc>
          <w:tcPr>
            <w:tcW w:type="dxa" w:w="1037"/>
            <w:vAlign w:val="center"/>
          </w:tcPr>
          <w:p>
            <w:pPr>
              <w:spacing w:after="40"/>
            </w:pPr>
            <w:r>
              <w:rPr>
                <w:sz w:val="18"/>
              </w:rPr>
              <w:t>0</w:t>
            </w:r>
          </w:p>
        </w:tc>
      </w:tr>
      <w:tr>
        <w:tc>
          <w:tcPr>
            <w:tcW w:type="dxa" w:w="6336"/>
            <w:vAlign w:val="center"/>
          </w:tcPr>
          <w:p>
            <w:pPr>
              <w:spacing w:after="40"/>
            </w:pPr>
            <w:r>
              <w:rPr>
                <w:b/>
                <w:sz w:val="18"/>
              </w:rPr>
              <w:t>TOTAL AUTOMATED TESTS</w:t>
            </w:r>
          </w:p>
        </w:tc>
        <w:tc>
          <w:tcPr>
            <w:tcW w:type="dxa" w:w="1037"/>
            <w:vAlign w:val="center"/>
          </w:tcPr>
          <w:p>
            <w:pPr>
              <w:spacing w:after="40"/>
            </w:pPr>
            <w:r>
              <w:rPr>
                <w:b/>
                <w:sz w:val="18"/>
              </w:rPr>
              <w:t>24</w:t>
            </w:r>
          </w:p>
        </w:tc>
        <w:tc>
          <w:tcPr>
            <w:tcW w:type="dxa" w:w="1037"/>
            <w:vAlign w:val="center"/>
          </w:tcPr>
          <w:p>
            <w:pPr>
              <w:spacing w:after="40"/>
            </w:pPr>
            <w:r>
              <w:rPr>
                <w:b/>
                <w:sz w:val="18"/>
              </w:rPr>
              <w:t>24</w:t>
            </w:r>
          </w:p>
        </w:tc>
        <w:tc>
          <w:tcPr>
            <w:tcW w:type="dxa" w:w="1037"/>
            <w:vAlign w:val="center"/>
          </w:tcPr>
          <w:p>
            <w:pPr>
              <w:spacing w:after="40"/>
            </w:pPr>
            <w:r>
              <w:rPr>
                <w:b/>
                <w:sz w:val="18"/>
              </w:rPr>
              <w:t>0</w:t>
            </w:r>
          </w:p>
        </w:tc>
      </w:tr>
    </w:tbl>
    <w:p>
      <w:pPr>
        <w:spacing w:before="100"/>
      </w:pPr>
      <w:r>
        <w:rPr>
          <w:b/>
        </w:rPr>
        <w:t xml:space="preserve">Separate smoke check: </w:t>
      </w:r>
      <w:r>
        <w:t>49 knowledge-base entries loaded; the password-reset entry ranked first for a password-reset query. This is not included in the 24 automated tests.</w:t>
      </w:r>
    </w:p>
    <w:p>
      <w:pPr>
        <w:pStyle w:val="Heading1"/>
      </w:pPr>
      <w:r>
        <w:t>Scenarios exercised</w:t>
      </w:r>
    </w:p>
    <w:p>
      <w:pPr>
        <w:pStyle w:val="ListBullet"/>
      </w:pPr>
      <w:r>
        <w:rPr>
          <w:b/>
        </w:rPr>
        <w:t xml:space="preserve">Knowledge and retrieval: </w:t>
      </w:r>
      <w:r>
        <w:t>Minimum knowledge-base size and four required domains; password-reset and reimbursement ranking; unknown-topic fallback; empty and stopword-only queries.</w:t>
      </w:r>
    </w:p>
    <w:p>
      <w:pPr>
        <w:pStyle w:val="ListBullet"/>
      </w:pPr>
      <w:r>
        <w:rPr>
          <w:b/>
        </w:rPr>
        <w:t xml:space="preserve">Ticket lifecycle: </w:t>
      </w:r>
      <w:r>
        <w:t>Local ticket creation and tracking IDs; email-scoped status lookup; invalid email; multiple-ticket listing and exact selection; no matches; required fields; unknown tools; staged proposals; explicit confirmation; changed proposal rejection; malformed email.</w:t>
      </w:r>
    </w:p>
    <w:p>
      <w:pPr>
        <w:pStyle w:val="ListBullet"/>
      </w:pPr>
      <w:r>
        <w:rPr>
          <w:b/>
        </w:rPr>
        <w:t xml:space="preserve">Jira integration: </w:t>
      </w:r>
      <w:r>
        <w:t>Issue payload and employee attribution; returned ID/link; email filtering and false-positive rejection; empty search results; HTTP 403 error handling.</w:t>
      </w:r>
    </w:p>
    <w:p>
      <w:pPr>
        <w:pStyle w:val="ListBullet"/>
      </w:pPr>
      <w:r>
        <w:rPr>
          <w:b/>
        </w:rPr>
        <w:t xml:space="preserve">Agent and portability: </w:t>
      </w:r>
      <w:r>
        <w:t>Requested agent name, model, reasoning and multi-agent settings; web and function tools; missing API key handling; provider selection; valid relative-path KB data.</w:t>
      </w:r>
    </w:p>
    <w:p>
      <w:pPr>
        <w:pStyle w:val="Heading1"/>
      </w:pPr>
      <w:r>
        <w:t>Test environment and limits</w:t>
      </w:r>
    </w:p>
    <w:p>
      <w:r>
        <w:t>Tests ran with Node.js v24.19.0 on Windows using Node’s built-in test runner. Jira HTTP behavior was tested with mocked responses. The local ticket store and confirmation guards ran against application code.</w:t>
      </w:r>
    </w:p>
    <w:p>
      <w:r>
        <w:t>A live OpenAI Agents API session was not run because OPENAI_API_KEY was absent from the build environment. No live Jira project or separate machine deployment was available for verification. Configure credentials and run the app in the target environment to complete those checks.</w:t>
      </w:r>
    </w:p>
    <w:p>
      <w:pPr>
        <w:pStyle w:val="Heading1"/>
      </w:pPr>
      <w:r>
        <w:t>Repeat the checks</w:t>
      </w:r>
    </w:p>
    <w:p>
      <w:r>
        <w:t>From the project folder, run npm test. Run npm run kb:check for the retrieval smoke check. After setting OPENAI_API_KEY, run npm start to create or reuse the saved agent and start a streamed session.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E7A87"/>
        <w:sz w:val="16"/>
      </w:rPr>
      <w:t xml:space="preserve">SmartDesk AI  •  Test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A34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w:hAnsi="Aptos"/>
      <w:b/>
      <w:bCs/>
      <w:color w:val="16324F"/>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246B7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6324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