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4457" w14:textId="77777777" w:rsidR="00A14FF5" w:rsidRPr="00741B59" w:rsidRDefault="00A14FF5" w:rsidP="00A14FF5">
      <w:pPr>
        <w:jc w:val="center"/>
        <w:rPr>
          <w:rFonts w:ascii="Times New Roman" w:hAnsi="Times New Roman" w:cs="Times New Roman"/>
        </w:rPr>
      </w:pPr>
    </w:p>
    <w:p w14:paraId="2E0E9BCF" w14:textId="2842D6E7" w:rsidR="00A14FF5" w:rsidRPr="00741B59" w:rsidRDefault="00A14FF5" w:rsidP="00A14FF5">
      <w:pPr>
        <w:rPr>
          <w:rFonts w:ascii="Times New Roman" w:hAnsi="Times New Roman" w:cs="Times New Roman"/>
          <w:sz w:val="24"/>
          <w:szCs w:val="24"/>
        </w:rPr>
      </w:pPr>
      <w:r w:rsidRPr="00741B59">
        <w:rPr>
          <w:rFonts w:ascii="Times New Roman" w:hAnsi="Times New Roman" w:cs="Times New Roman"/>
          <w:sz w:val="24"/>
          <w:szCs w:val="24"/>
        </w:rPr>
        <w:t>If a point at random is positioned somewhere in the shape below, what is the probability that the point will be within the boundaries of the heart shaped separation.</w:t>
      </w:r>
    </w:p>
    <w:p w14:paraId="0F58FCD9" w14:textId="77777777" w:rsidR="00A14FF5" w:rsidRPr="00741B59" w:rsidRDefault="00A14FF5" w:rsidP="00A14FF5">
      <w:pPr>
        <w:jc w:val="center"/>
        <w:rPr>
          <w:rFonts w:ascii="Times New Roman" w:hAnsi="Times New Roman" w:cs="Times New Roman"/>
        </w:rPr>
      </w:pPr>
    </w:p>
    <w:p w14:paraId="34AD0433" w14:textId="10943D3E" w:rsidR="00850BEA" w:rsidRPr="00741B59" w:rsidRDefault="00A14FF5" w:rsidP="00A14FF5">
      <w:pPr>
        <w:jc w:val="center"/>
        <w:rPr>
          <w:rFonts w:ascii="Times New Roman" w:hAnsi="Times New Roman" w:cs="Times New Roman"/>
        </w:rPr>
      </w:pPr>
      <w:r w:rsidRPr="00741B59">
        <w:rPr>
          <w:rFonts w:ascii="Times New Roman" w:hAnsi="Times New Roman" w:cs="Times New Roman"/>
        </w:rPr>
        <w:drawing>
          <wp:inline distT="0" distB="0" distL="0" distR="0" wp14:anchorId="54029224" wp14:editId="60F23C2B">
            <wp:extent cx="3200400" cy="302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555" cy="30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73A" w14:textId="77777777" w:rsidR="009E5D1A" w:rsidRPr="00741B59" w:rsidRDefault="009E5D1A" w:rsidP="00A14FF5">
      <w:pPr>
        <w:jc w:val="center"/>
        <w:rPr>
          <w:rFonts w:ascii="Times New Roman" w:hAnsi="Times New Roman" w:cs="Times New Roman"/>
        </w:rPr>
      </w:pPr>
    </w:p>
    <w:p w14:paraId="3DB971BD" w14:textId="3164156E" w:rsidR="00A14FF5" w:rsidRPr="00741B59" w:rsidRDefault="00A14FF5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hAnsi="Times New Roman" w:cs="Times New Roman"/>
          <w:sz w:val="24"/>
          <w:szCs w:val="24"/>
        </w:rPr>
        <w:t xml:space="preserve">The problem can be modelled by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h</w:t>
      </w: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is the area of the heart shaped object and </w:t>
      </w:r>
      <w:proofErr w:type="gramStart"/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</w:t>
      </w:r>
      <w:proofErr w:type="gramEnd"/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741B59">
        <w:rPr>
          <w:rFonts w:ascii="Times New Roman" w:eastAsiaTheme="minorEastAsia" w:hAnsi="Times New Roman" w:cs="Times New Roman"/>
          <w:sz w:val="24"/>
          <w:szCs w:val="24"/>
        </w:rPr>
        <w:t>is the total area of the rectangle.</w:t>
      </w:r>
    </w:p>
    <w:p w14:paraId="01DCC8D4" w14:textId="37BFA1A1" w:rsidR="003416AA" w:rsidRPr="00741B59" w:rsidRDefault="00A14FF5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h</w:t>
      </w: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is equal to the sum of the two </w:t>
      </w:r>
      <w:r w:rsidR="003416AA" w:rsidRPr="00741B59">
        <w:rPr>
          <w:rFonts w:ascii="Times New Roman" w:eastAsiaTheme="minorEastAsia" w:hAnsi="Times New Roman" w:cs="Times New Roman"/>
          <w:sz w:val="24"/>
          <w:szCs w:val="24"/>
        </w:rPr>
        <w:t>regions</w:t>
      </w: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that compose the heart. The lower rectangular region, and the upper circle region, composed of the two semi circles placed above the triangle.</w:t>
      </w:r>
    </w:p>
    <w:p w14:paraId="6796D8FA" w14:textId="52397302" w:rsidR="00A14FF5" w:rsidRPr="00741B59" w:rsidRDefault="003416AA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The area of the triangular region can be determined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hb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=625c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FDE63A" w14:textId="439E8B52" w:rsidR="003416AA" w:rsidRPr="00741B59" w:rsidRDefault="003416AA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The hypotenuse of the triangular region </w:t>
      </w:r>
      <w:r w:rsidR="00D21885"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D21885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can be used for the calculation of the circular regions area and the </w:t>
      </w:r>
      <w:r w:rsidR="00D21885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height of the rectangle. It can be determined using Pythagoras,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21885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in this case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21885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c=50</m:t>
        </m:r>
      </m:oMath>
      <w:r w:rsidR="00D21885" w:rsidRPr="00741B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EDAF84" w14:textId="09EC0580" w:rsidR="00D21885" w:rsidRPr="00741B59" w:rsidRDefault="00D21885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Because the semicircles are the same size, together they form the circular region. Using the hypotenuse of the triangle we can determine the diameter of the circular region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=25</m:t>
        </m:r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,r=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we can determine the area of the circle,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12.5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156.25</m:t>
        </m:r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8BB1566" w14:textId="501CED63" w:rsidR="00D21885" w:rsidRPr="00741B59" w:rsidRDefault="00D21885" w:rsidP="00A14F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Finally, the area of the rectangle can be determine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hw</m:t>
        </m:r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However, we only have the width value of 100 cm. To determine the height of the rectangle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h=25+25+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proofErr w:type="spellStart"/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</w:t>
      </w:r>
      <w:proofErr w:type="spellEnd"/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is the height of the triangle and </w:t>
      </w:r>
      <w:proofErr w:type="spellStart"/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Pr="00741B5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c</w:t>
      </w:r>
      <w:proofErr w:type="spellEnd"/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is the height of the circle.</w:t>
      </w:r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can be found by </w:t>
      </w:r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inscribing a smaller triangle within the primary one. The height of the smaller triangle can be found using Pythagoras, in this case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c=25</m:t>
        </m:r>
      </m:oMath>
      <w:r w:rsidR="002472B6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 can be found as we know the diameter or height of the circle already to be 25 cm.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25cm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25</m:t>
        </m:r>
        <m:r>
          <w:rPr>
            <w:rFonts w:ascii="Cambria Math" w:eastAsiaTheme="minorEastAsia" w:hAnsi="Cambria Math" w:cs="Times New Roman"/>
            <w:sz w:val="24"/>
            <w:szCs w:val="24"/>
          </w:rPr>
          <m:t>cm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25cm+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87.5cm</m:t>
        </m:r>
      </m:oMath>
      <w:r w:rsidR="009E5D1A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72B6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Finally, the area of the rectangle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hw</m:t>
        </m:r>
      </m:oMath>
      <w:r w:rsidR="002472B6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is found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hw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=100cm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87.5cm=87500cm</m:t>
        </m:r>
      </m:oMath>
      <w:r w:rsidR="002472B6" w:rsidRPr="00741B5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435226" w14:textId="54B36C32" w:rsidR="00F33C13" w:rsidRPr="00F33C13" w:rsidRDefault="002472B6" w:rsidP="00A14FF5">
      <w:pPr>
        <w:rPr>
          <w:rFonts w:ascii="Times New Roman" w:eastAsiaTheme="minorEastAsia" w:hAnsi="Times New Roman" w:cs="Times New Roman"/>
          <w:color w:val="202124"/>
          <w:shd w:val="clear" w:color="auto" w:fill="FFFFFF"/>
        </w:rPr>
      </w:pPr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the probability of any given point being within the heart shape can be found.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=625c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625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=625c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=87500c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741B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625c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8750c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r>
          <w:rPr>
            <w:rFonts w:ascii="Cambria Math" w:hAnsi="Cambria Math" w:cs="Times New Roman"/>
            <w:sz w:val="24"/>
            <w:szCs w:val="24"/>
          </w:rPr>
          <m:t>100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56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⋅</m:t>
        </m:r>
        <m:r>
          <w:rPr>
            <w:rFonts w:ascii="Cambria Math" w:hAnsi="Cambria Math" w:cs="Times New Roman"/>
            <w:sz w:val="24"/>
            <w:szCs w:val="24"/>
          </w:rPr>
          <m:t>100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hd w:val="clear" w:color="auto" w:fill="FFFFFF"/>
          </w:rPr>
          <m:t>=12.752844≈12.75%</m:t>
        </m:r>
      </m:oMath>
      <w:r w:rsidR="00F33C13">
        <w:rPr>
          <w:rFonts w:ascii="Times New Roman" w:eastAsiaTheme="minorEastAsia" w:hAnsi="Times New Roman" w:cs="Times New Roman"/>
          <w:color w:val="202124"/>
          <w:shd w:val="clear" w:color="auto" w:fill="FFFFFF"/>
        </w:rPr>
        <w:t>.</w:t>
      </w:r>
    </w:p>
    <w:sectPr w:rsidR="00F33C13" w:rsidRPr="00F33C1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B6961" w14:textId="77777777" w:rsidR="00F00133" w:rsidRDefault="00F00133" w:rsidP="00A14FF5">
      <w:pPr>
        <w:spacing w:after="0" w:line="240" w:lineRule="auto"/>
      </w:pPr>
      <w:r>
        <w:separator/>
      </w:r>
    </w:p>
  </w:endnote>
  <w:endnote w:type="continuationSeparator" w:id="0">
    <w:p w14:paraId="7DB9A4B4" w14:textId="77777777" w:rsidR="00F00133" w:rsidRDefault="00F00133" w:rsidP="00A1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D58D7" w14:textId="77777777" w:rsidR="00F00133" w:rsidRDefault="00F00133" w:rsidP="00A14FF5">
      <w:pPr>
        <w:spacing w:after="0" w:line="240" w:lineRule="auto"/>
      </w:pPr>
      <w:r>
        <w:separator/>
      </w:r>
    </w:p>
  </w:footnote>
  <w:footnote w:type="continuationSeparator" w:id="0">
    <w:p w14:paraId="71989198" w14:textId="77777777" w:rsidR="00F00133" w:rsidRDefault="00F00133" w:rsidP="00A1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5FBD2" w14:textId="4DBF44FE" w:rsidR="00A14FF5" w:rsidRPr="00A14FF5" w:rsidRDefault="00A14FF5" w:rsidP="00A14FF5">
    <w:pPr>
      <w:pStyle w:val="Header"/>
      <w:jc w:val="center"/>
      <w:rPr>
        <w:rFonts w:ascii="Times New Roman" w:hAnsi="Times New Roman" w:cs="Times New Roman"/>
        <w:sz w:val="24"/>
        <w:szCs w:val="24"/>
        <w:lang w:val="en-CA"/>
      </w:rPr>
    </w:pPr>
    <w:r w:rsidRPr="00A14FF5">
      <w:rPr>
        <w:rFonts w:ascii="Times New Roman" w:hAnsi="Times New Roman" w:cs="Times New Roman"/>
        <w:sz w:val="24"/>
        <w:szCs w:val="24"/>
        <w:lang w:val="en-CA"/>
      </w:rPr>
      <w:t>Cupid’s Arrow Solution – Graydon Strachan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EA"/>
    <w:rsid w:val="002472B6"/>
    <w:rsid w:val="003416AA"/>
    <w:rsid w:val="00741B59"/>
    <w:rsid w:val="00850BEA"/>
    <w:rsid w:val="009E5D1A"/>
    <w:rsid w:val="00A14FF5"/>
    <w:rsid w:val="00D10B14"/>
    <w:rsid w:val="00D21885"/>
    <w:rsid w:val="00F00133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F9E2"/>
  <w15:chartTrackingRefBased/>
  <w15:docId w15:val="{618543B3-BBDE-4186-A496-9CB1D440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F5"/>
  </w:style>
  <w:style w:type="paragraph" w:styleId="Footer">
    <w:name w:val="footer"/>
    <w:basedOn w:val="Normal"/>
    <w:link w:val="FooterChar"/>
    <w:uiPriority w:val="99"/>
    <w:unhideWhenUsed/>
    <w:rsid w:val="00A1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F5"/>
  </w:style>
  <w:style w:type="character" w:styleId="PlaceholderText">
    <w:name w:val="Placeholder Text"/>
    <w:basedOn w:val="DefaultParagraphFont"/>
    <w:uiPriority w:val="99"/>
    <w:semiHidden/>
    <w:rsid w:val="00A14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9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1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894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Strachan</dc:creator>
  <cp:keywords/>
  <dc:description/>
  <cp:lastModifiedBy>Ritchie Strachan</cp:lastModifiedBy>
  <cp:revision>4</cp:revision>
  <cp:lastPrinted>2021-02-18T04:53:00Z</cp:lastPrinted>
  <dcterms:created xsi:type="dcterms:W3CDTF">2021-02-18T03:48:00Z</dcterms:created>
  <dcterms:modified xsi:type="dcterms:W3CDTF">2021-02-18T04:54:00Z</dcterms:modified>
</cp:coreProperties>
</file>