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 xml:space="preserve">Informe </w:t>
      </w:r>
      <w:proofErr w:type="spellStart"/>
      <w:r w:rsidRPr="00905E78">
        <w:rPr>
          <w:rFonts w:ascii="Arial" w:hAnsi="Arial" w:cs="Arial"/>
          <w:sz w:val="72"/>
          <w:szCs w:val="72"/>
          <w:lang w:val="es-ES_tradnl"/>
        </w:rPr>
        <w:t>Hashing</w:t>
      </w:r>
      <w:proofErr w:type="spellEnd"/>
    </w:p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>Grupo: Los Borbotones</w:t>
      </w:r>
    </w:p>
    <w:p w:rsidR="00003881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 xml:space="preserve">Integrantes: </w:t>
      </w:r>
    </w:p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proofErr w:type="spellStart"/>
      <w:r w:rsidRPr="00905E78">
        <w:rPr>
          <w:rFonts w:ascii="Arial" w:hAnsi="Arial" w:cs="Arial"/>
          <w:sz w:val="72"/>
          <w:szCs w:val="72"/>
          <w:lang w:val="es-ES_tradnl"/>
        </w:rPr>
        <w:t>Huarancca</w:t>
      </w:r>
      <w:proofErr w:type="spellEnd"/>
      <w:r w:rsidRPr="00905E78">
        <w:rPr>
          <w:rFonts w:ascii="Arial" w:hAnsi="Arial" w:cs="Arial"/>
          <w:sz w:val="72"/>
          <w:szCs w:val="72"/>
          <w:lang w:val="es-ES_tradnl"/>
        </w:rPr>
        <w:t>, Antonio</w:t>
      </w:r>
    </w:p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>Rivas, Nicolás</w:t>
      </w:r>
    </w:p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>Taborda, Gastón</w:t>
      </w:r>
    </w:p>
    <w:p w:rsidR="00003881" w:rsidRPr="00905E78" w:rsidRDefault="00003881" w:rsidP="00905E78">
      <w:pPr>
        <w:jc w:val="center"/>
        <w:rPr>
          <w:rFonts w:ascii="Arial" w:hAnsi="Arial" w:cs="Arial"/>
          <w:sz w:val="72"/>
          <w:szCs w:val="72"/>
          <w:lang w:val="es-ES_tradnl"/>
        </w:rPr>
      </w:pPr>
      <w:r w:rsidRPr="00905E78">
        <w:rPr>
          <w:rFonts w:ascii="Arial" w:hAnsi="Arial" w:cs="Arial"/>
          <w:sz w:val="72"/>
          <w:szCs w:val="72"/>
          <w:lang w:val="es-ES_tradnl"/>
        </w:rPr>
        <w:t xml:space="preserve">Tema: </w:t>
      </w:r>
      <w:proofErr w:type="spellStart"/>
      <w:r w:rsidRPr="00905E78">
        <w:rPr>
          <w:rFonts w:ascii="Arial" w:hAnsi="Arial" w:cs="Arial"/>
          <w:sz w:val="72"/>
          <w:szCs w:val="72"/>
          <w:lang w:val="es-ES_tradnl"/>
        </w:rPr>
        <w:t>bucket</w:t>
      </w:r>
      <w:proofErr w:type="spellEnd"/>
      <w:r w:rsidRPr="00905E78">
        <w:rPr>
          <w:rFonts w:ascii="Arial" w:hAnsi="Arial" w:cs="Arial"/>
          <w:sz w:val="72"/>
          <w:szCs w:val="72"/>
          <w:lang w:val="es-ES_tradnl"/>
        </w:rPr>
        <w:t xml:space="preserve"> </w:t>
      </w:r>
      <w:proofErr w:type="spellStart"/>
      <w:r w:rsidRPr="00905E78">
        <w:rPr>
          <w:rFonts w:ascii="Arial" w:hAnsi="Arial" w:cs="Arial"/>
          <w:sz w:val="72"/>
          <w:szCs w:val="72"/>
          <w:lang w:val="es-ES_tradnl"/>
        </w:rPr>
        <w:t>addressing</w:t>
      </w:r>
      <w:proofErr w:type="spellEnd"/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Una introducción básica al tema de </w:t>
      </w:r>
      <w:proofErr w:type="spellStart"/>
      <w:r>
        <w:rPr>
          <w:rFonts w:ascii="Arial" w:hAnsi="Arial" w:cs="Arial"/>
          <w:lang w:val="es-ES_tradnl"/>
        </w:rPr>
        <w:t>hashing</w:t>
      </w:r>
      <w:proofErr w:type="spellEnd"/>
      <w:r>
        <w:rPr>
          <w:rFonts w:ascii="Arial" w:hAnsi="Arial" w:cs="Arial"/>
          <w:lang w:val="es-ES_tradnl"/>
        </w:rPr>
        <w:t>: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usa </w:t>
      </w:r>
      <w:proofErr w:type="spellStart"/>
      <w:r>
        <w:rPr>
          <w:rFonts w:ascii="Arial" w:hAnsi="Arial" w:cs="Arial"/>
          <w:lang w:val="es-ES_tradnl"/>
        </w:rPr>
        <w:t>hashing</w:t>
      </w:r>
      <w:proofErr w:type="spellEnd"/>
      <w:r>
        <w:rPr>
          <w:rFonts w:ascii="Arial" w:hAnsi="Arial" w:cs="Arial"/>
          <w:lang w:val="es-ES_tradnl"/>
        </w:rPr>
        <w:t xml:space="preserve"> para mejorar los tiempos de búsqueda y llevarlos a un tiempo de búsqueda óptimo. Por ejemplo, al buscar un registro, el tiempo que se tarde en encontrar este registro tenga orden </w:t>
      </w:r>
      <w:proofErr w:type="gramStart"/>
      <w:r>
        <w:rPr>
          <w:rFonts w:ascii="Arial" w:hAnsi="Arial" w:cs="Arial"/>
          <w:lang w:val="es-ES_tradnl"/>
        </w:rPr>
        <w:t>O(</w:t>
      </w:r>
      <w:proofErr w:type="gramEnd"/>
      <w:r>
        <w:rPr>
          <w:rFonts w:ascii="Arial" w:hAnsi="Arial" w:cs="Arial"/>
          <w:lang w:val="es-ES_tradnl"/>
        </w:rPr>
        <w:t xml:space="preserve">1), lo que significa encontrarlo en el primer lugar en el que se busca. Para esto es necesario </w:t>
      </w:r>
      <w:proofErr w:type="spellStart"/>
      <w:r>
        <w:rPr>
          <w:rFonts w:ascii="Arial" w:hAnsi="Arial" w:cs="Arial"/>
          <w:lang w:val="es-ES_tradnl"/>
        </w:rPr>
        <w:t>hashear</w:t>
      </w:r>
      <w:proofErr w:type="spellEnd"/>
      <w:r>
        <w:rPr>
          <w:rFonts w:ascii="Arial" w:hAnsi="Arial" w:cs="Arial"/>
          <w:lang w:val="es-ES_tradnl"/>
        </w:rPr>
        <w:t xml:space="preserve"> el registro, lo que significa asignarle un código o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 y guardar las </w:t>
      </w:r>
      <w:proofErr w:type="spellStart"/>
      <w:r>
        <w:rPr>
          <w:rFonts w:ascii="Arial" w:hAnsi="Arial" w:cs="Arial"/>
          <w:lang w:val="es-ES_tradnl"/>
        </w:rPr>
        <w:t>keys</w:t>
      </w:r>
      <w:proofErr w:type="spellEnd"/>
      <w:r>
        <w:rPr>
          <w:rFonts w:ascii="Arial" w:hAnsi="Arial" w:cs="Arial"/>
          <w:lang w:val="es-ES_tradnl"/>
        </w:rPr>
        <w:t xml:space="preserve"> de todos los registros de manera ordenada, generalmente en una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 o tabla de hash. La función de la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 es guardar los registros de manera ordenada y de acuerdo con sus </w:t>
      </w:r>
      <w:proofErr w:type="spellStart"/>
      <w:r>
        <w:rPr>
          <w:rFonts w:ascii="Arial" w:hAnsi="Arial" w:cs="Arial"/>
          <w:lang w:val="es-ES_tradnl"/>
        </w:rPr>
        <w:t>keys</w:t>
      </w:r>
      <w:proofErr w:type="spellEnd"/>
      <w:r>
        <w:rPr>
          <w:rFonts w:ascii="Arial" w:hAnsi="Arial" w:cs="Arial"/>
          <w:lang w:val="es-ES_tradnl"/>
        </w:rPr>
        <w:t xml:space="preserve"> correspondientes.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problema aparece cuando se tienen uno o más registros con la misma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, por lo cual ocuparían el mismo lugar en la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. En éste caso se dice que se produjo una colisión. Existen varios métodos para resolver éste conflicto, uno de los cuáles es el que se trata a continuación: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addressing</w:t>
      </w:r>
      <w:proofErr w:type="spellEnd"/>
      <w:r>
        <w:rPr>
          <w:rFonts w:ascii="Arial" w:hAnsi="Arial" w:cs="Arial"/>
          <w:lang w:val="es-ES_tradnl"/>
        </w:rPr>
        <w:t>.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Básicamente, consiste en dividir los M slots o posiciones de la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 en B </w:t>
      </w:r>
      <w:proofErr w:type="spellStart"/>
      <w:r>
        <w:rPr>
          <w:rFonts w:ascii="Arial" w:hAnsi="Arial" w:cs="Arial"/>
          <w:lang w:val="es-ES_tradnl"/>
        </w:rPr>
        <w:t>buckets</w:t>
      </w:r>
      <w:proofErr w:type="spellEnd"/>
      <w:r>
        <w:rPr>
          <w:rFonts w:ascii="Arial" w:hAnsi="Arial" w:cs="Arial"/>
          <w:lang w:val="es-ES_tradnl"/>
        </w:rPr>
        <w:t xml:space="preserve"> o cubetas, tal que cada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tendrá M/B slots. De ésta manera, al tener varios registros con la misma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>, existirá más de una posición en la cual podrían guardarse éstos registros.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Entonces, cuando se requiere buscar un registro en la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, lo único que se debe hacer es ir al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correspondiente a la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 y recorrer los slots del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>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</w:tblGrid>
      <w:tr w:rsidR="000B6C74" w:rsidRPr="000B6C74" w:rsidTr="000B6C74">
        <w:trPr>
          <w:trHeight w:val="501"/>
        </w:trPr>
        <w:tc>
          <w:tcPr>
            <w:tcW w:w="1264" w:type="dxa"/>
            <w:shd w:val="clear" w:color="auto" w:fill="9BBB59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20</w:t>
            </w:r>
          </w:p>
        </w:tc>
      </w:tr>
      <w:tr w:rsidR="000B6C74" w:rsidRPr="000B6C74" w:rsidTr="000B6C74">
        <w:trPr>
          <w:trHeight w:val="485"/>
        </w:trPr>
        <w:tc>
          <w:tcPr>
            <w:tcW w:w="1264" w:type="dxa"/>
            <w:shd w:val="clear" w:color="auto" w:fill="9BBB59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30</w:t>
            </w:r>
          </w:p>
        </w:tc>
      </w:tr>
      <w:tr w:rsidR="000B6C74" w:rsidRPr="000B6C74" w:rsidTr="000B6C74">
        <w:trPr>
          <w:trHeight w:val="485"/>
        </w:trPr>
        <w:tc>
          <w:tcPr>
            <w:tcW w:w="1264" w:type="dxa"/>
            <w:shd w:val="clear" w:color="auto" w:fill="9BBB59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40</w:t>
            </w:r>
          </w:p>
        </w:tc>
      </w:tr>
      <w:tr w:rsidR="000B6C74" w:rsidRPr="000B6C74" w:rsidTr="000B6C74">
        <w:trPr>
          <w:trHeight w:val="501"/>
        </w:trPr>
        <w:tc>
          <w:tcPr>
            <w:tcW w:w="1264" w:type="dxa"/>
            <w:shd w:val="clear" w:color="auto" w:fill="9BBB59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0B6C74" w:rsidRPr="000B6C74" w:rsidTr="000B6C74">
        <w:trPr>
          <w:trHeight w:val="485"/>
        </w:trPr>
        <w:tc>
          <w:tcPr>
            <w:tcW w:w="1264" w:type="dxa"/>
            <w:shd w:val="clear" w:color="auto" w:fill="1F497D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15</w:t>
            </w:r>
          </w:p>
        </w:tc>
      </w:tr>
      <w:tr w:rsidR="000B6C74" w:rsidRPr="000B6C74" w:rsidTr="000B6C74">
        <w:trPr>
          <w:trHeight w:val="501"/>
        </w:trPr>
        <w:tc>
          <w:tcPr>
            <w:tcW w:w="1264" w:type="dxa"/>
            <w:shd w:val="clear" w:color="auto" w:fill="1F497D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17</w:t>
            </w:r>
          </w:p>
        </w:tc>
      </w:tr>
      <w:tr w:rsidR="000B6C74" w:rsidRPr="000B6C74" w:rsidTr="000B6C74">
        <w:trPr>
          <w:trHeight w:val="485"/>
        </w:trPr>
        <w:tc>
          <w:tcPr>
            <w:tcW w:w="1264" w:type="dxa"/>
            <w:shd w:val="clear" w:color="auto" w:fill="1F497D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19</w:t>
            </w:r>
          </w:p>
        </w:tc>
      </w:tr>
      <w:tr w:rsidR="000B6C74" w:rsidRPr="000B6C74" w:rsidTr="000B6C74">
        <w:trPr>
          <w:trHeight w:val="501"/>
        </w:trPr>
        <w:tc>
          <w:tcPr>
            <w:tcW w:w="1264" w:type="dxa"/>
            <w:shd w:val="clear" w:color="auto" w:fill="1F497D"/>
          </w:tcPr>
          <w:p w:rsidR="002B3B52" w:rsidRPr="000B6C74" w:rsidRDefault="002B3B52" w:rsidP="000B6C74">
            <w:pPr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21</w:t>
            </w:r>
          </w:p>
        </w:tc>
      </w:tr>
    </w:tbl>
    <w:p w:rsidR="002B3B52" w:rsidRDefault="002B3B52" w:rsidP="002B3B52">
      <w:pPr>
        <w:tabs>
          <w:tab w:val="left" w:pos="4275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Home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ab/>
      </w:r>
    </w:p>
    <w:p w:rsidR="002B3B52" w:rsidRDefault="002B3B52" w:rsidP="002B3B52">
      <w:pPr>
        <w:tabs>
          <w:tab w:val="left" w:pos="4275"/>
        </w:tabs>
        <w:rPr>
          <w:rFonts w:ascii="Arial" w:hAnsi="Arial" w:cs="Arial"/>
          <w:lang w:val="es-ES_tradnl"/>
        </w:rPr>
      </w:pPr>
    </w:p>
    <w:p w:rsidR="002B3B52" w:rsidRPr="000B6C74" w:rsidRDefault="000B6C74" w:rsidP="002B3B52">
      <w:pPr>
        <w:tabs>
          <w:tab w:val="left" w:pos="3000"/>
        </w:tabs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lang w:val="es-ES_tradnl"/>
        </w:rPr>
        <w:t>B</w:t>
      </w:r>
      <w:r>
        <w:rPr>
          <w:rFonts w:ascii="Arial" w:hAnsi="Arial" w:cs="Arial"/>
          <w:b/>
          <w:i/>
          <w:vertAlign w:val="subscript"/>
          <w:lang w:val="es-ES_tradnl"/>
        </w:rPr>
        <w:t>1</w:t>
      </w:r>
      <w:r w:rsidR="00713746">
        <w:rPr>
          <w:rFonts w:ascii="Arial" w:hAnsi="Arial" w:cs="Arial"/>
          <w:b/>
          <w:i/>
          <w:vertAlign w:val="subscript"/>
          <w:lang w:val="es-ES_tradnl"/>
        </w:rPr>
        <w:t xml:space="preserve"> (</w:t>
      </w:r>
      <w:proofErr w:type="spellStart"/>
      <w:r w:rsidR="00713746">
        <w:rPr>
          <w:rFonts w:ascii="Arial" w:hAnsi="Arial" w:cs="Arial"/>
          <w:b/>
          <w:i/>
          <w:vertAlign w:val="subscript"/>
          <w:lang w:val="es-ES_tradnl"/>
        </w:rPr>
        <w:t>key</w:t>
      </w:r>
      <w:proofErr w:type="spellEnd"/>
      <w:r w:rsidR="00713746">
        <w:rPr>
          <w:rFonts w:ascii="Arial" w:hAnsi="Arial" w:cs="Arial"/>
          <w:b/>
          <w:i/>
          <w:vertAlign w:val="subscript"/>
          <w:lang w:val="es-ES_tradnl"/>
        </w:rPr>
        <w:t>=0)</w:t>
      </w:r>
      <w:r w:rsidR="002B3B52">
        <w:rPr>
          <w:rFonts w:ascii="Arial" w:hAnsi="Arial" w:cs="Arial"/>
          <w:lang w:val="es-ES_tradnl"/>
        </w:rPr>
        <w:tab/>
      </w:r>
      <w:r w:rsidR="00713746">
        <w:rPr>
          <w:rFonts w:ascii="Arial" w:hAnsi="Arial" w:cs="Arial"/>
          <w:lang w:val="es-ES_tradnl"/>
        </w:rPr>
        <w:t>Donde el registro se divide por la cantidad de</w:t>
      </w:r>
    </w:p>
    <w:p w:rsidR="00713746" w:rsidRDefault="00713746" w:rsidP="002B3B52">
      <w:pPr>
        <w:tabs>
          <w:tab w:val="left" w:pos="300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proofErr w:type="spellStart"/>
      <w:proofErr w:type="gramStart"/>
      <w:r>
        <w:rPr>
          <w:rFonts w:ascii="Arial" w:hAnsi="Arial" w:cs="Arial"/>
          <w:lang w:val="es-ES_tradnl"/>
        </w:rPr>
        <w:t>buckets</w:t>
      </w:r>
      <w:proofErr w:type="spellEnd"/>
      <w:proofErr w:type="gramEnd"/>
      <w:r>
        <w:rPr>
          <w:rFonts w:ascii="Arial" w:hAnsi="Arial" w:cs="Arial"/>
          <w:lang w:val="es-ES_tradnl"/>
        </w:rPr>
        <w:t xml:space="preserve">, siendo el resto la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 asignada.</w:t>
      </w:r>
    </w:p>
    <w:p w:rsidR="002B3B52" w:rsidRDefault="00713746" w:rsidP="00713746">
      <w:pPr>
        <w:tabs>
          <w:tab w:val="left" w:pos="3000"/>
        </w:tabs>
        <w:ind w:left="1416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 xml:space="preserve">Ejemplo: 20%2=0, entonces corresponde al </w:t>
      </w:r>
    </w:p>
    <w:tbl>
      <w:tblPr>
        <w:tblpPr w:leftFromText="141" w:rightFromText="141" w:vertAnchor="page" w:horzAnchor="margin" w:tblpY="11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</w:tblGrid>
      <w:tr w:rsidR="000B6C74" w:rsidRPr="000B6C74" w:rsidTr="000B6C74">
        <w:trPr>
          <w:trHeight w:val="494"/>
        </w:trPr>
        <w:tc>
          <w:tcPr>
            <w:tcW w:w="1249" w:type="dxa"/>
            <w:shd w:val="clear" w:color="auto" w:fill="FF0000"/>
          </w:tcPr>
          <w:p w:rsidR="000B6C74" w:rsidRPr="000B6C74" w:rsidRDefault="000B6C74" w:rsidP="000B6C74">
            <w:pPr>
              <w:tabs>
                <w:tab w:val="left" w:pos="4275"/>
              </w:tabs>
              <w:rPr>
                <w:rFonts w:ascii="Arial" w:hAnsi="Arial" w:cs="Arial"/>
                <w:lang w:val="es-ES_tradnl"/>
              </w:rPr>
            </w:pPr>
            <w:r w:rsidRPr="000B6C74">
              <w:rPr>
                <w:rFonts w:ascii="Arial" w:hAnsi="Arial" w:cs="Arial"/>
                <w:lang w:val="es-ES_tradnl"/>
              </w:rPr>
              <w:t>23</w:t>
            </w:r>
          </w:p>
        </w:tc>
      </w:tr>
      <w:tr w:rsidR="000B6C74" w:rsidRPr="000B6C74" w:rsidTr="000B6C74">
        <w:trPr>
          <w:trHeight w:val="510"/>
        </w:trPr>
        <w:tc>
          <w:tcPr>
            <w:tcW w:w="1249" w:type="dxa"/>
            <w:shd w:val="clear" w:color="auto" w:fill="FF0000"/>
          </w:tcPr>
          <w:p w:rsidR="000B6C74" w:rsidRPr="000B6C74" w:rsidRDefault="000B6C74" w:rsidP="000B6C74">
            <w:pPr>
              <w:tabs>
                <w:tab w:val="left" w:pos="4275"/>
              </w:tabs>
              <w:rPr>
                <w:rFonts w:ascii="Arial" w:hAnsi="Arial" w:cs="Arial"/>
                <w:lang w:val="es-ES_tradnl"/>
              </w:rPr>
            </w:pPr>
          </w:p>
        </w:tc>
      </w:tr>
      <w:tr w:rsidR="000B6C74" w:rsidRPr="000B6C74" w:rsidTr="000B6C74">
        <w:trPr>
          <w:trHeight w:val="494"/>
        </w:trPr>
        <w:tc>
          <w:tcPr>
            <w:tcW w:w="1249" w:type="dxa"/>
            <w:shd w:val="clear" w:color="auto" w:fill="FF0000"/>
          </w:tcPr>
          <w:p w:rsidR="000B6C74" w:rsidRPr="000B6C74" w:rsidRDefault="000B6C74" w:rsidP="000B6C74">
            <w:pPr>
              <w:tabs>
                <w:tab w:val="left" w:pos="4275"/>
              </w:tabs>
              <w:rPr>
                <w:rFonts w:ascii="Arial" w:hAnsi="Arial" w:cs="Arial"/>
                <w:lang w:val="es-ES_tradnl"/>
              </w:rPr>
            </w:pPr>
          </w:p>
        </w:tc>
      </w:tr>
      <w:tr w:rsidR="000B6C74" w:rsidRPr="000B6C74" w:rsidTr="000B6C74">
        <w:trPr>
          <w:trHeight w:val="510"/>
        </w:trPr>
        <w:tc>
          <w:tcPr>
            <w:tcW w:w="1249" w:type="dxa"/>
            <w:shd w:val="clear" w:color="auto" w:fill="FF0000"/>
          </w:tcPr>
          <w:p w:rsidR="000B6C74" w:rsidRPr="000B6C74" w:rsidRDefault="000B6C74" w:rsidP="000B6C74">
            <w:pPr>
              <w:tabs>
                <w:tab w:val="left" w:pos="4275"/>
              </w:tabs>
              <w:rPr>
                <w:rFonts w:ascii="Arial" w:hAnsi="Arial" w:cs="Arial"/>
                <w:lang w:val="es-ES_tradnl"/>
              </w:rPr>
            </w:pPr>
          </w:p>
        </w:tc>
      </w:tr>
    </w:tbl>
    <w:p w:rsidR="000B6C74" w:rsidRPr="00713746" w:rsidRDefault="00713746" w:rsidP="002B3B52">
      <w:pPr>
        <w:tabs>
          <w:tab w:val="left" w:pos="3000"/>
        </w:tabs>
        <w:rPr>
          <w:rFonts w:ascii="Arial" w:hAnsi="Arial" w:cs="Arial"/>
          <w:b/>
          <w:i/>
          <w:vertAlign w:val="subscript"/>
          <w:lang w:val="en-US"/>
        </w:rPr>
      </w:pPr>
      <w:r>
        <w:rPr>
          <w:rFonts w:ascii="Arial" w:hAnsi="Arial" w:cs="Arial"/>
          <w:b/>
          <w:i/>
          <w:vertAlign w:val="subscript"/>
          <w:lang w:val="es-ES_tradnl"/>
        </w:rPr>
        <w:tab/>
      </w:r>
      <w:proofErr w:type="gramStart"/>
      <w:r w:rsidRPr="00713746">
        <w:rPr>
          <w:rFonts w:ascii="Arial" w:hAnsi="Arial" w:cs="Arial"/>
          <w:lang w:val="en-US"/>
        </w:rPr>
        <w:t>primer</w:t>
      </w:r>
      <w:proofErr w:type="gramEnd"/>
      <w:r w:rsidRPr="00713746">
        <w:rPr>
          <w:rFonts w:ascii="Arial" w:hAnsi="Arial" w:cs="Arial"/>
          <w:lang w:val="en-US"/>
        </w:rPr>
        <w:t xml:space="preserve"> bucket</w:t>
      </w:r>
      <w:r w:rsidRPr="00713746">
        <w:rPr>
          <w:rFonts w:ascii="Arial" w:hAnsi="Arial" w:cs="Arial"/>
          <w:lang w:val="en-US"/>
        </w:rPr>
        <w:t>.</w:t>
      </w:r>
    </w:p>
    <w:p w:rsidR="000B6C74" w:rsidRPr="00713746" w:rsidRDefault="000B6C74" w:rsidP="000B6C74">
      <w:pPr>
        <w:tabs>
          <w:tab w:val="left" w:pos="4305"/>
        </w:tabs>
        <w:rPr>
          <w:rFonts w:ascii="Arial" w:hAnsi="Arial" w:cs="Arial"/>
          <w:lang w:val="en-US"/>
        </w:rPr>
      </w:pPr>
      <w:proofErr w:type="gramStart"/>
      <w:r w:rsidRPr="00713746">
        <w:rPr>
          <w:rFonts w:ascii="Arial" w:hAnsi="Arial" w:cs="Arial"/>
          <w:b/>
          <w:i/>
          <w:lang w:val="en-US"/>
        </w:rPr>
        <w:t>B</w:t>
      </w:r>
      <w:r w:rsidRPr="00713746">
        <w:rPr>
          <w:rFonts w:ascii="Arial" w:hAnsi="Arial" w:cs="Arial"/>
          <w:b/>
          <w:i/>
          <w:vertAlign w:val="subscript"/>
          <w:lang w:val="en-US"/>
        </w:rPr>
        <w:t>2</w:t>
      </w:r>
      <w:r w:rsidR="00713746" w:rsidRPr="00713746">
        <w:rPr>
          <w:rFonts w:ascii="Arial" w:hAnsi="Arial" w:cs="Arial"/>
          <w:b/>
          <w:i/>
          <w:vertAlign w:val="subscript"/>
          <w:lang w:val="en-US"/>
        </w:rPr>
        <w:t>(</w:t>
      </w:r>
      <w:proofErr w:type="gramEnd"/>
      <w:r w:rsidR="00713746" w:rsidRPr="00713746">
        <w:rPr>
          <w:rFonts w:ascii="Arial" w:hAnsi="Arial" w:cs="Arial"/>
          <w:b/>
          <w:i/>
          <w:vertAlign w:val="subscript"/>
          <w:lang w:val="en-US"/>
        </w:rPr>
        <w:t>key=1)</w:t>
      </w:r>
      <w:r w:rsidRPr="00713746">
        <w:rPr>
          <w:rFonts w:ascii="Arial" w:hAnsi="Arial" w:cs="Arial"/>
          <w:lang w:val="en-US"/>
        </w:rPr>
        <w:tab/>
      </w:r>
    </w:p>
    <w:p w:rsidR="000B6C74" w:rsidRPr="00713746" w:rsidRDefault="000B6C74" w:rsidP="000B6C74">
      <w:pPr>
        <w:rPr>
          <w:rFonts w:ascii="Arial" w:hAnsi="Arial" w:cs="Arial"/>
          <w:lang w:val="en-US"/>
        </w:rPr>
      </w:pPr>
    </w:p>
    <w:p w:rsidR="000B6C74" w:rsidRPr="00713746" w:rsidRDefault="000B6C74" w:rsidP="000B6C74">
      <w:pPr>
        <w:rPr>
          <w:rFonts w:ascii="Arial" w:hAnsi="Arial" w:cs="Arial"/>
          <w:lang w:val="en-US"/>
        </w:rPr>
      </w:pPr>
    </w:p>
    <w:p w:rsidR="000B6C74" w:rsidRPr="00713746" w:rsidRDefault="00713746" w:rsidP="00713746">
      <w:pPr>
        <w:ind w:left="4248" w:firstLine="708"/>
        <w:rPr>
          <w:rFonts w:ascii="Arial" w:hAnsi="Arial" w:cs="Arial"/>
        </w:rPr>
      </w:pPr>
      <w:r w:rsidRPr="0071374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spellStart"/>
      <w:r w:rsidR="000B6C74" w:rsidRPr="00713746">
        <w:rPr>
          <w:rFonts w:ascii="Arial" w:hAnsi="Arial" w:cs="Arial"/>
        </w:rPr>
        <w:t>Overflow</w:t>
      </w:r>
      <w:proofErr w:type="spellEnd"/>
      <w:r w:rsidR="000B6C74" w:rsidRPr="00713746">
        <w:rPr>
          <w:rFonts w:ascii="Arial" w:hAnsi="Arial" w:cs="Arial"/>
        </w:rPr>
        <w:t xml:space="preserve"> </w:t>
      </w:r>
      <w:proofErr w:type="spellStart"/>
      <w:r w:rsidR="000B6C74" w:rsidRPr="00713746">
        <w:rPr>
          <w:rFonts w:ascii="Arial" w:hAnsi="Arial" w:cs="Arial"/>
        </w:rPr>
        <w:t>Bucket</w:t>
      </w:r>
      <w:proofErr w:type="spellEnd"/>
      <w:r w:rsidR="000B6C74" w:rsidRPr="00713746">
        <w:rPr>
          <w:rFonts w:ascii="Arial" w:hAnsi="Arial" w:cs="Arial"/>
        </w:rPr>
        <w:t xml:space="preserve"> de tamaño </w:t>
      </w:r>
      <w:r w:rsidRPr="00713746">
        <w:rPr>
          <w:rFonts w:ascii="Arial" w:hAnsi="Arial" w:cs="Arial"/>
        </w:rPr>
        <w:t>“</w:t>
      </w:r>
      <w:r w:rsidR="000B6C74" w:rsidRPr="00713746">
        <w:rPr>
          <w:rFonts w:ascii="Arial" w:hAnsi="Arial" w:cs="Arial"/>
        </w:rPr>
        <w:t>infinito</w:t>
      </w:r>
      <w:r w:rsidRPr="00713746">
        <w:rPr>
          <w:rFonts w:ascii="Arial" w:hAnsi="Arial" w:cs="Arial"/>
        </w:rPr>
        <w:t>”</w:t>
      </w:r>
      <w:r w:rsidR="000B6C74" w:rsidRPr="00713746">
        <w:rPr>
          <w:rFonts w:ascii="Arial" w:hAnsi="Arial" w:cs="Arial"/>
        </w:rPr>
        <w:t>.</w:t>
      </w:r>
    </w:p>
    <w:p w:rsidR="00713746" w:rsidRDefault="00713746" w:rsidP="00713746">
      <w:pPr>
        <w:tabs>
          <w:tab w:val="left" w:pos="3000"/>
        </w:tabs>
        <w:ind w:left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 w:rsidR="000B6C74">
        <w:rPr>
          <w:rFonts w:ascii="Arial" w:hAnsi="Arial" w:cs="Arial"/>
          <w:lang w:val="es-ES_tradnl"/>
        </w:rPr>
        <w:t xml:space="preserve">Como los </w:t>
      </w:r>
      <w:r>
        <w:rPr>
          <w:rFonts w:ascii="Arial" w:hAnsi="Arial" w:cs="Arial"/>
          <w:lang w:val="es-ES_tradnl"/>
        </w:rPr>
        <w:t xml:space="preserve">slots del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 w:rsidR="000B6C74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que le corresponde</w:t>
      </w:r>
      <w:r w:rsidR="000B6C74">
        <w:rPr>
          <w:rFonts w:ascii="Arial" w:hAnsi="Arial" w:cs="Arial"/>
          <w:lang w:val="es-ES_tradnl"/>
        </w:rPr>
        <w:t xml:space="preserve"> </w:t>
      </w:r>
    </w:p>
    <w:p w:rsidR="00713746" w:rsidRDefault="00713746" w:rsidP="00713746">
      <w:pPr>
        <w:tabs>
          <w:tab w:val="left" w:pos="3000"/>
        </w:tabs>
        <w:ind w:left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proofErr w:type="gramStart"/>
      <w:r>
        <w:rPr>
          <w:rFonts w:ascii="Arial" w:hAnsi="Arial" w:cs="Arial"/>
          <w:lang w:val="es-ES_tradnl"/>
        </w:rPr>
        <w:t>al</w:t>
      </w:r>
      <w:proofErr w:type="gramEnd"/>
      <w:r>
        <w:rPr>
          <w:rFonts w:ascii="Arial" w:hAnsi="Arial" w:cs="Arial"/>
          <w:lang w:val="es-ES_tradnl"/>
        </w:rPr>
        <w:t xml:space="preserve"> registro </w:t>
      </w:r>
      <w:r>
        <w:rPr>
          <w:rFonts w:ascii="Arial" w:hAnsi="Arial" w:cs="Arial"/>
          <w:lang w:val="es-ES_tradnl"/>
        </w:rPr>
        <w:t xml:space="preserve">(azul) no tienen ningún slot libre, el </w:t>
      </w:r>
    </w:p>
    <w:p w:rsidR="002B3B52" w:rsidRPr="000B6C74" w:rsidRDefault="00713746" w:rsidP="00713746">
      <w:pPr>
        <w:tabs>
          <w:tab w:val="left" w:pos="3000"/>
        </w:tabs>
        <w:ind w:left="708"/>
        <w:rPr>
          <w:rFonts w:ascii="Arial" w:hAnsi="Arial" w:cs="Arial"/>
          <w:b/>
          <w:i/>
          <w:vertAlign w:val="subscript"/>
          <w:lang w:val="es-ES_tradnl"/>
        </w:rPr>
      </w:pPr>
      <w:r>
        <w:rPr>
          <w:rFonts w:ascii="Arial" w:hAnsi="Arial" w:cs="Arial"/>
          <w:lang w:val="es-ES_tradnl"/>
        </w:rPr>
        <w:tab/>
      </w:r>
      <w:proofErr w:type="gramStart"/>
      <w:r>
        <w:rPr>
          <w:rFonts w:ascii="Arial" w:hAnsi="Arial" w:cs="Arial"/>
          <w:lang w:val="es-ES_tradnl"/>
        </w:rPr>
        <w:t>registro</w:t>
      </w:r>
      <w:proofErr w:type="gramEnd"/>
      <w:r>
        <w:rPr>
          <w:rFonts w:ascii="Arial" w:hAnsi="Arial" w:cs="Arial"/>
          <w:lang w:val="es-ES_tradnl"/>
        </w:rPr>
        <w:t xml:space="preserve"> se almacena en el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br w:type="textWrapping" w:clear="all"/>
      </w:r>
      <w:r>
        <w:rPr>
          <w:rFonts w:ascii="Arial" w:hAnsi="Arial" w:cs="Arial"/>
          <w:b/>
          <w:i/>
          <w:vertAlign w:val="subscript"/>
          <w:lang w:val="es-ES_tradnl"/>
        </w:rPr>
        <w:tab/>
      </w:r>
      <w:r>
        <w:rPr>
          <w:rFonts w:ascii="Arial" w:hAnsi="Arial" w:cs="Arial"/>
          <w:b/>
          <w:i/>
          <w:vertAlign w:val="subscript"/>
          <w:lang w:val="es-ES_tradnl"/>
        </w:rPr>
        <w:tab/>
      </w:r>
      <w:bookmarkStart w:id="0" w:name="_GoBack"/>
      <w:bookmarkEnd w:id="0"/>
    </w:p>
    <w:p w:rsidR="002B3B52" w:rsidRDefault="002B3B52" w:rsidP="002B3B52">
      <w:pPr>
        <w:rPr>
          <w:rFonts w:ascii="Arial" w:hAnsi="Arial" w:cs="Arial"/>
          <w:lang w:val="es-ES_tradnl"/>
        </w:rPr>
      </w:pP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 ésta manera se optimiza el tiempo de búsqueda, ya que, a pesar de no poder llevarlo al caso ideal de </w:t>
      </w:r>
      <w:proofErr w:type="gramStart"/>
      <w:r>
        <w:rPr>
          <w:rFonts w:ascii="Arial" w:hAnsi="Arial" w:cs="Arial"/>
          <w:lang w:val="es-ES_tradnl"/>
        </w:rPr>
        <w:t>O(</w:t>
      </w:r>
      <w:proofErr w:type="gramEnd"/>
      <w:r>
        <w:rPr>
          <w:rFonts w:ascii="Arial" w:hAnsi="Arial" w:cs="Arial"/>
          <w:lang w:val="es-ES_tradnl"/>
        </w:rPr>
        <w:t xml:space="preserve">1), se logra un orden de O(B), siendo B la cantidad de </w:t>
      </w:r>
      <w:proofErr w:type="spellStart"/>
      <w:r>
        <w:rPr>
          <w:rFonts w:ascii="Arial" w:hAnsi="Arial" w:cs="Arial"/>
          <w:lang w:val="es-ES_tradnl"/>
        </w:rPr>
        <w:t>buckets</w:t>
      </w:r>
      <w:proofErr w:type="spellEnd"/>
      <w:r>
        <w:rPr>
          <w:rFonts w:ascii="Arial" w:hAnsi="Arial" w:cs="Arial"/>
          <w:lang w:val="es-ES_tradnl"/>
        </w:rPr>
        <w:t xml:space="preserve"> en los que se dividió cada slot.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También se debe contemplar la situación que se da cuando al </w:t>
      </w:r>
      <w:proofErr w:type="spellStart"/>
      <w:r>
        <w:rPr>
          <w:rFonts w:ascii="Arial" w:hAnsi="Arial" w:cs="Arial"/>
          <w:lang w:val="es-ES_tradnl"/>
        </w:rPr>
        <w:t>hashear</w:t>
      </w:r>
      <w:proofErr w:type="spellEnd"/>
      <w:r>
        <w:rPr>
          <w:rFonts w:ascii="Arial" w:hAnsi="Arial" w:cs="Arial"/>
          <w:lang w:val="es-ES_tradnl"/>
        </w:rPr>
        <w:t xml:space="preserve"> un registro se obtiene una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 y todos los slots del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correspondiente a la </w:t>
      </w:r>
      <w:proofErr w:type="spellStart"/>
      <w:r>
        <w:rPr>
          <w:rFonts w:ascii="Arial" w:hAnsi="Arial" w:cs="Arial"/>
          <w:lang w:val="es-ES_tradnl"/>
        </w:rPr>
        <w:t>key</w:t>
      </w:r>
      <w:proofErr w:type="spellEnd"/>
      <w:r>
        <w:rPr>
          <w:rFonts w:ascii="Arial" w:hAnsi="Arial" w:cs="Arial"/>
          <w:lang w:val="es-ES_tradnl"/>
        </w:rPr>
        <w:t xml:space="preserve"> están ocupados. Entonces, recurrimos al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>.</w:t>
      </w:r>
    </w:p>
    <w:p w:rsidR="00003881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es un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adicional, común a todos los </w:t>
      </w:r>
      <w:proofErr w:type="spellStart"/>
      <w:r>
        <w:rPr>
          <w:rFonts w:ascii="Arial" w:hAnsi="Arial" w:cs="Arial"/>
          <w:lang w:val="es-ES_tradnl"/>
        </w:rPr>
        <w:t>buckets</w:t>
      </w:r>
      <w:proofErr w:type="spellEnd"/>
      <w:r>
        <w:rPr>
          <w:rFonts w:ascii="Arial" w:hAnsi="Arial" w:cs="Arial"/>
          <w:lang w:val="es-ES_tradnl"/>
        </w:rPr>
        <w:t xml:space="preserve"> que se ubica al final de la hash </w:t>
      </w:r>
      <w:proofErr w:type="spellStart"/>
      <w:r>
        <w:rPr>
          <w:rFonts w:ascii="Arial" w:hAnsi="Arial" w:cs="Arial"/>
          <w:lang w:val="es-ES_tradnl"/>
        </w:rPr>
        <w:t>table</w:t>
      </w:r>
      <w:proofErr w:type="spellEnd"/>
      <w:r>
        <w:rPr>
          <w:rFonts w:ascii="Arial" w:hAnsi="Arial" w:cs="Arial"/>
          <w:lang w:val="es-ES_tradnl"/>
        </w:rPr>
        <w:t xml:space="preserve"> y tiene tamaño “infinito”. Cuando se produce la situación anterior, se procede al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y se guarda el registro en el primer slot libre del mismo.</w:t>
      </w:r>
    </w:p>
    <w:p w:rsidR="00003881" w:rsidRPr="00C72669" w:rsidRDefault="0000388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 ésta manera, el tiempo de búsqueda sufre un incremento en su orden que se corresponde con la cantidad de slots del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 xml:space="preserve"> que se deban recorrer, ya sea al guardar un registro o al buscarlo. Por esto, mientras más registros existan en el </w:t>
      </w:r>
      <w:proofErr w:type="spellStart"/>
      <w:r>
        <w:rPr>
          <w:rFonts w:ascii="Arial" w:hAnsi="Arial" w:cs="Arial"/>
          <w:lang w:val="es-ES_tradnl"/>
        </w:rPr>
        <w:t>bucket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overflow</w:t>
      </w:r>
      <w:proofErr w:type="spellEnd"/>
      <w:r>
        <w:rPr>
          <w:rFonts w:ascii="Arial" w:hAnsi="Arial" w:cs="Arial"/>
          <w:lang w:val="es-ES_tradnl"/>
        </w:rPr>
        <w:t>, más se incrementará el orden del tiempo de búsqueda.</w:t>
      </w:r>
    </w:p>
    <w:sectPr w:rsidR="00003881" w:rsidRPr="00C72669" w:rsidSect="00BD2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2669"/>
    <w:rsid w:val="00003881"/>
    <w:rsid w:val="000B6C74"/>
    <w:rsid w:val="002B3B52"/>
    <w:rsid w:val="005935B3"/>
    <w:rsid w:val="00713746"/>
    <w:rsid w:val="00905E78"/>
    <w:rsid w:val="00BD277A"/>
    <w:rsid w:val="00C72669"/>
    <w:rsid w:val="00CE2925"/>
    <w:rsid w:val="00D504D3"/>
    <w:rsid w:val="00DC3850"/>
    <w:rsid w:val="00D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7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locked/>
    <w:rsid w:val="002B3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2015-06-23T17:11:00Z</dcterms:created>
  <dcterms:modified xsi:type="dcterms:W3CDTF">2015-06-23T19:46:00Z</dcterms:modified>
</cp:coreProperties>
</file>