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一、建议项目名称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服务智慧物流的区块链应用平台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二、项目选择申报的技术方向名称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区块链研究与应用示范</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三、立项意义（限300字）</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通过建设智慧物流区块链应用平台，确保物流环节和流通环节的透明性和不可更改性。使物流交易的各参与方都能够实时参与到链上，保证货物安全，避免爆仓去包，并真实可靠地记录和传递资金流、物流、信息流，实现优化资源利用率、压缩中间环节、提升行业整体效率，降低信任成本，保护客户隐私，实现货物信息溯源和身份识别。</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四、前期工作基础（限500字）</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云南省投资集团（下属的云南省信息产业投资集团、中以云链科技有限公司为主要执行单位），与以色列全球知名的区块链公司Logchain合作，开发了全球首个跨国海运物流的区块链管理平台。该平台已经成功应用在以色列最大的跨国海运公司“以星”集团，服务了多家跨国银行及跨国船运公司。云投集团投资Logchain公司引进该公司先进的区块链技术，并在北京和昆明成立了专门从事区块链核心技术研发及应用推广的中以云链科技有限公司。并与云南大学合作，成立了“云投-云大区块链技术研究实验室”，联合研发区块链底层核心技术及应用关键技术。</w:t>
      </w:r>
    </w:p>
    <w:p>
      <w:pPr>
        <w:numPr>
          <w:ilvl w:val="0"/>
          <w:numId w:val="1"/>
        </w:num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主要研究内容（限500字）</w:t>
      </w:r>
    </w:p>
    <w:p>
      <w:pPr>
        <w:numPr>
          <w:ilvl w:val="0"/>
          <w:numId w:val="2"/>
        </w:num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研究采用区块链技术服务智慧物流，研究开发公路运输以及水上运输的物流区块链示范应用平台。</w:t>
      </w:r>
    </w:p>
    <w:p>
      <w:pPr>
        <w:numPr>
          <w:ilvl w:val="0"/>
          <w:numId w:val="2"/>
        </w:num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通过研究物联网技术与区块链技术的融合，实现物流流程环节数据的自动采集以及自动上链。</w:t>
      </w:r>
    </w:p>
    <w:p>
      <w:pPr>
        <w:numPr>
          <w:ilvl w:val="0"/>
          <w:numId w:val="2"/>
        </w:num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通过研究不可篡改的区块链记录物流流程环节中的关键数据，研究采用区块链技术实现智慧仓储，研究区块链的数据挖掘与分析，为物流的参与各方提供物流流程的数据汇总分析服务，优化货物运输路线和日程安排。</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六、拟实现目标（限200字）</w:t>
      </w:r>
    </w:p>
    <w:p>
      <w:pPr>
        <w:adjustRightInd w:val="0"/>
        <w:snapToGrid w:val="0"/>
        <w:spacing w:line="600" w:lineRule="exact"/>
        <w:ind w:firstLine="641"/>
        <w:rPr>
          <w:rFonts w:hint="eastAsia" w:eastAsia="仿宋_GB2312"/>
          <w:sz w:val="28"/>
          <w:szCs w:val="32"/>
        </w:rPr>
      </w:pPr>
      <w:r>
        <w:rPr>
          <w:rFonts w:hint="eastAsia" w:eastAsia="仿宋_GB2312"/>
          <w:sz w:val="28"/>
          <w:szCs w:val="32"/>
        </w:rPr>
        <w:t>依托云南信息产业投资有限公司和云南大学，</w:t>
      </w:r>
      <w:r>
        <w:rPr>
          <w:rFonts w:eastAsia="仿宋_GB2312"/>
          <w:sz w:val="28"/>
          <w:szCs w:val="32"/>
        </w:rPr>
        <w:t>充分利用和整合已有的各级各类资源，</w:t>
      </w:r>
      <w:r>
        <w:rPr>
          <w:rFonts w:hint="eastAsia" w:eastAsia="仿宋_GB2312"/>
          <w:sz w:val="28"/>
          <w:szCs w:val="32"/>
        </w:rPr>
        <w:t>充分发挥云南</w:t>
      </w:r>
      <w:r>
        <w:rPr>
          <w:rFonts w:hint="eastAsia" w:eastAsia="仿宋_GB2312"/>
          <w:sz w:val="28"/>
          <w:szCs w:val="32"/>
          <w:lang w:val="en-US" w:eastAsia="zh-CN"/>
        </w:rPr>
        <w:t>在“一带一路”建设中的区位优势</w:t>
      </w:r>
      <w:r>
        <w:rPr>
          <w:rFonts w:hint="eastAsia" w:eastAsia="仿宋_GB2312"/>
          <w:sz w:val="28"/>
          <w:szCs w:val="32"/>
        </w:rPr>
        <w:t>，以区块链技术可信、可追溯的特性为依托，研究区块链在</w:t>
      </w:r>
      <w:r>
        <w:rPr>
          <w:rFonts w:hint="eastAsia" w:eastAsia="仿宋_GB2312"/>
          <w:sz w:val="28"/>
          <w:szCs w:val="32"/>
          <w:lang w:val="en-US" w:eastAsia="zh-CN"/>
        </w:rPr>
        <w:t>物流领域</w:t>
      </w:r>
      <w:r>
        <w:rPr>
          <w:rFonts w:hint="eastAsia" w:eastAsia="仿宋_GB2312"/>
          <w:sz w:val="28"/>
          <w:szCs w:val="32"/>
        </w:rPr>
        <w:t>应用的关键技术，建立基于区块链的</w:t>
      </w:r>
      <w:r>
        <w:rPr>
          <w:rFonts w:hint="eastAsia" w:eastAsia="仿宋_GB2312"/>
          <w:sz w:val="28"/>
          <w:szCs w:val="32"/>
          <w:lang w:val="en-US" w:eastAsia="zh-CN"/>
        </w:rPr>
        <w:t>物流应用平台</w:t>
      </w:r>
      <w:r>
        <w:rPr>
          <w:rFonts w:hint="eastAsia" w:eastAsia="仿宋_GB2312"/>
          <w:sz w:val="28"/>
          <w:szCs w:val="32"/>
        </w:rPr>
        <w:t>，</w:t>
      </w:r>
      <w:r>
        <w:rPr>
          <w:rFonts w:hint="eastAsia" w:eastAsia="仿宋_GB2312"/>
          <w:sz w:val="28"/>
          <w:szCs w:val="32"/>
          <w:lang w:val="en-US" w:eastAsia="zh-CN"/>
        </w:rPr>
        <w:t>为“一带一路”沿线国家物流</w:t>
      </w:r>
      <w:bookmarkStart w:id="0" w:name="_GoBack"/>
      <w:bookmarkEnd w:id="0"/>
      <w:r>
        <w:rPr>
          <w:rFonts w:hint="eastAsia" w:eastAsia="仿宋_GB2312"/>
          <w:sz w:val="28"/>
          <w:szCs w:val="32"/>
          <w:lang w:val="en-US" w:eastAsia="zh-CN"/>
        </w:rPr>
        <w:t>企业提供区块链数据服务</w:t>
      </w:r>
      <w:r>
        <w:rPr>
          <w:rFonts w:hint="eastAsia" w:eastAsia="仿宋_GB2312"/>
          <w:sz w:val="28"/>
          <w:szCs w:val="32"/>
        </w:rPr>
        <w:t>，推动云南省</w:t>
      </w:r>
      <w:r>
        <w:rPr>
          <w:rFonts w:hint="eastAsia" w:eastAsia="仿宋_GB2312"/>
          <w:sz w:val="28"/>
          <w:szCs w:val="32"/>
          <w:lang w:val="en-US" w:eastAsia="zh-CN"/>
        </w:rPr>
        <w:t>物流</w:t>
      </w:r>
      <w:r>
        <w:rPr>
          <w:rFonts w:hint="eastAsia" w:eastAsia="仿宋_GB2312"/>
          <w:sz w:val="28"/>
          <w:szCs w:val="32"/>
        </w:rPr>
        <w:t>产业的创新发展。</w:t>
      </w:r>
    </w:p>
    <w:p>
      <w:pPr>
        <w:keepNext w:val="0"/>
        <w:keepLines w:val="0"/>
        <w:widowControl/>
        <w:suppressLineNumbers w:val="0"/>
        <w:spacing w:before="156" w:beforeAutospacing="0" w:after="156" w:afterAutospacing="0" w:line="270" w:lineRule="atLeast"/>
        <w:ind w:right="0"/>
        <w:jc w:val="left"/>
        <w:rPr>
          <w:rFonts w:hint="eastAsia" w:ascii="宋体" w:hAnsi="宋体" w:eastAsia="宋体" w:cs="宋体"/>
          <w:i w:val="0"/>
          <w:caps w:val="0"/>
          <w:color w:val="000000"/>
          <w:spacing w:val="0"/>
          <w:kern w:val="0"/>
          <w:sz w:val="24"/>
          <w:szCs w:val="24"/>
          <w:lang w:val="en-US" w:eastAsia="zh-CN" w:bidi="ar"/>
        </w:rPr>
      </w:pP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24"/>
          <w:szCs w:val="24"/>
          <w:lang w:val="en-US" w:eastAsia="zh-CN" w:bidi="ar"/>
        </w:rPr>
        <w:t>七、考核指标（限200字）</w:t>
      </w:r>
    </w:p>
    <w:p>
      <w:pPr>
        <w:numPr>
          <w:ilvl w:val="0"/>
          <w:numId w:val="3"/>
        </w:numPr>
        <w:adjustRightInd w:val="0"/>
        <w:snapToGrid w:val="0"/>
        <w:spacing w:line="600" w:lineRule="exact"/>
        <w:ind w:left="1134" w:hanging="493"/>
        <w:rPr>
          <w:rFonts w:hint="eastAsia" w:eastAsia="仿宋_GB2312"/>
          <w:sz w:val="28"/>
          <w:szCs w:val="32"/>
        </w:rPr>
      </w:pPr>
      <w:r>
        <w:rPr>
          <w:rFonts w:eastAsia="仿宋_GB2312"/>
          <w:sz w:val="28"/>
          <w:szCs w:val="32"/>
        </w:rPr>
        <w:t>提出</w:t>
      </w:r>
      <w:r>
        <w:rPr>
          <w:rFonts w:hint="eastAsia" w:eastAsia="仿宋_GB2312"/>
          <w:sz w:val="28"/>
          <w:szCs w:val="32"/>
          <w:lang w:val="en-US" w:eastAsia="zh-CN"/>
        </w:rPr>
        <w:t>智慧物流</w:t>
      </w:r>
      <w:r>
        <w:rPr>
          <w:rFonts w:eastAsia="仿宋_GB2312"/>
          <w:sz w:val="28"/>
          <w:szCs w:val="32"/>
        </w:rPr>
        <w:t>区块链</w:t>
      </w:r>
      <w:r>
        <w:rPr>
          <w:rFonts w:hint="eastAsia" w:eastAsia="仿宋_GB2312"/>
          <w:sz w:val="28"/>
          <w:szCs w:val="32"/>
          <w:lang w:val="en-US" w:eastAsia="zh-CN"/>
        </w:rPr>
        <w:t>应用</w:t>
      </w:r>
      <w:r>
        <w:rPr>
          <w:rFonts w:eastAsia="仿宋_GB2312"/>
          <w:sz w:val="28"/>
          <w:szCs w:val="32"/>
        </w:rPr>
        <w:t>平台建设模式及关键技术解决方案，并形成相关研究报告1套</w:t>
      </w:r>
    </w:p>
    <w:p>
      <w:pPr>
        <w:numPr>
          <w:ilvl w:val="0"/>
          <w:numId w:val="3"/>
        </w:numPr>
        <w:adjustRightInd w:val="0"/>
        <w:snapToGrid w:val="0"/>
        <w:spacing w:line="600" w:lineRule="exact"/>
        <w:ind w:left="1134" w:hanging="493"/>
        <w:rPr>
          <w:rFonts w:hint="eastAsia" w:eastAsia="仿宋_GB2312"/>
          <w:sz w:val="28"/>
          <w:szCs w:val="32"/>
        </w:rPr>
      </w:pPr>
      <w:r>
        <w:rPr>
          <w:rFonts w:hint="eastAsia" w:eastAsia="仿宋_GB2312"/>
          <w:sz w:val="28"/>
          <w:szCs w:val="32"/>
        </w:rPr>
        <w:t>研发云南省</w:t>
      </w:r>
      <w:r>
        <w:rPr>
          <w:rFonts w:hint="eastAsia" w:eastAsia="仿宋_GB2312"/>
          <w:sz w:val="28"/>
          <w:szCs w:val="32"/>
          <w:lang w:val="en-US" w:eastAsia="zh-CN"/>
        </w:rPr>
        <w:t>物流</w:t>
      </w:r>
      <w:r>
        <w:rPr>
          <w:rFonts w:hint="eastAsia" w:eastAsia="仿宋_GB2312"/>
          <w:sz w:val="28"/>
          <w:szCs w:val="32"/>
        </w:rPr>
        <w:t>区块链</w:t>
      </w:r>
      <w:r>
        <w:rPr>
          <w:rFonts w:hint="eastAsia" w:eastAsia="仿宋_GB2312"/>
          <w:sz w:val="28"/>
          <w:szCs w:val="32"/>
          <w:lang w:val="en-US" w:eastAsia="zh-CN"/>
        </w:rPr>
        <w:t>应用平台</w:t>
      </w:r>
      <w:r>
        <w:rPr>
          <w:rFonts w:hint="eastAsia" w:eastAsia="仿宋_GB2312"/>
          <w:sz w:val="28"/>
          <w:szCs w:val="32"/>
        </w:rPr>
        <w:t>系统1套，并进行应用示范</w:t>
      </w:r>
      <w:r>
        <w:rPr>
          <w:rFonts w:hint="eastAsia" w:eastAsia="仿宋_GB2312"/>
          <w:sz w:val="28"/>
          <w:szCs w:val="32"/>
          <w:lang w:eastAsia="zh-CN"/>
        </w:rPr>
        <w:t>；</w:t>
      </w:r>
    </w:p>
    <w:p>
      <w:pPr>
        <w:pStyle w:val="4"/>
        <w:widowControl w:val="0"/>
        <w:numPr>
          <w:ilvl w:val="0"/>
          <w:numId w:val="3"/>
        </w:numPr>
        <w:tabs>
          <w:tab w:val="left" w:pos="142"/>
          <w:tab w:val="left" w:pos="1134"/>
        </w:tabs>
        <w:adjustRightInd w:val="0"/>
        <w:snapToGrid w:val="0"/>
        <w:spacing w:line="600" w:lineRule="exact"/>
        <w:ind w:firstLineChars="0"/>
        <w:jc w:val="both"/>
        <w:rPr>
          <w:rFonts w:eastAsia="仿宋_GB2312"/>
          <w:sz w:val="28"/>
          <w:szCs w:val="32"/>
        </w:rPr>
      </w:pPr>
      <w:r>
        <w:rPr>
          <w:rFonts w:hint="eastAsia" w:eastAsia="仿宋_GB2312"/>
          <w:sz w:val="28"/>
          <w:szCs w:val="32"/>
        </w:rPr>
        <w:t>发表国内外重要学术期刊论文</w:t>
      </w:r>
      <w:r>
        <w:rPr>
          <w:rFonts w:hint="eastAsia" w:eastAsia="仿宋_GB2312"/>
          <w:sz w:val="28"/>
          <w:szCs w:val="32"/>
          <w:lang w:val="en-US" w:eastAsia="zh-CN"/>
        </w:rPr>
        <w:t>3</w:t>
      </w:r>
      <w:r>
        <w:rPr>
          <w:rFonts w:hint="eastAsia" w:eastAsia="仿宋_GB2312"/>
          <w:sz w:val="28"/>
          <w:szCs w:val="32"/>
        </w:rPr>
        <w:t>篇</w:t>
      </w:r>
      <w:r>
        <w:rPr>
          <w:rFonts w:hint="eastAsia" w:eastAsia="仿宋_GB2312"/>
          <w:sz w:val="28"/>
          <w:szCs w:val="32"/>
          <w:lang w:eastAsia="zh-CN"/>
        </w:rPr>
        <w:t>；</w:t>
      </w:r>
    </w:p>
    <w:p>
      <w:pPr>
        <w:pStyle w:val="4"/>
        <w:widowControl w:val="0"/>
        <w:numPr>
          <w:ilvl w:val="0"/>
          <w:numId w:val="3"/>
        </w:numPr>
        <w:tabs>
          <w:tab w:val="left" w:pos="142"/>
          <w:tab w:val="left" w:pos="1134"/>
        </w:tabs>
        <w:adjustRightInd w:val="0"/>
        <w:snapToGrid w:val="0"/>
        <w:spacing w:line="600" w:lineRule="exact"/>
        <w:ind w:firstLineChars="0"/>
        <w:jc w:val="both"/>
        <w:rPr>
          <w:rFonts w:hint="eastAsia" w:ascii="宋体" w:hAnsi="宋体" w:eastAsia="宋体" w:cs="宋体"/>
          <w:i w:val="0"/>
          <w:caps w:val="0"/>
          <w:color w:val="000000"/>
          <w:spacing w:val="0"/>
          <w:kern w:val="0"/>
          <w:sz w:val="24"/>
          <w:szCs w:val="24"/>
          <w:lang w:val="en-US" w:eastAsia="zh-CN" w:bidi="ar"/>
        </w:rPr>
      </w:pPr>
      <w:r>
        <w:rPr>
          <w:rFonts w:hint="eastAsia" w:eastAsia="仿宋_GB2312"/>
          <w:sz w:val="28"/>
          <w:szCs w:val="32"/>
        </w:rPr>
        <w:t>获得软件著作权或国家专利</w:t>
      </w:r>
      <w:r>
        <w:rPr>
          <w:rFonts w:hint="eastAsia" w:eastAsia="仿宋_GB2312"/>
          <w:sz w:val="28"/>
          <w:szCs w:val="32"/>
          <w:lang w:val="en-US" w:eastAsia="zh-CN"/>
        </w:rPr>
        <w:t>5</w:t>
      </w:r>
      <w:r>
        <w:rPr>
          <w:rFonts w:hint="eastAsia" w:eastAsia="仿宋_GB2312"/>
          <w:sz w:val="28"/>
          <w:szCs w:val="32"/>
        </w:rPr>
        <w:t>项</w:t>
      </w:r>
      <w:r>
        <w:rPr>
          <w:rFonts w:hint="eastAsia" w:eastAsia="仿宋_GB2312"/>
          <w:sz w:val="28"/>
          <w:szCs w:val="32"/>
          <w:lang w:eastAsia="zh-CN"/>
        </w:rPr>
        <w:t>。</w:t>
      </w: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kern w:val="0"/>
          <w:sz w:val="24"/>
          <w:szCs w:val="24"/>
          <w:lang w:val="en-US" w:eastAsia="zh-CN" w:bidi="ar"/>
        </w:rPr>
      </w:pP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000000"/>
          <w:spacing w:val="0"/>
          <w:kern w:val="0"/>
          <w:sz w:val="24"/>
          <w:szCs w:val="24"/>
          <w:lang w:val="en-US" w:eastAsia="zh-CN" w:bidi="ar"/>
        </w:rPr>
        <w:t>八、预期成果（限200字）</w:t>
      </w:r>
    </w:p>
    <w:p>
      <w:pPr>
        <w:numPr>
          <w:ilvl w:val="0"/>
          <w:numId w:val="4"/>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完成云南省</w:t>
      </w:r>
      <w:r>
        <w:rPr>
          <w:rFonts w:hint="eastAsia" w:eastAsia="仿宋_GB2312"/>
          <w:sz w:val="28"/>
          <w:szCs w:val="32"/>
          <w:lang w:val="en-US" w:eastAsia="zh-CN"/>
        </w:rPr>
        <w:t>智慧物流区块链应用</w:t>
      </w:r>
      <w:r>
        <w:rPr>
          <w:rFonts w:hint="eastAsia" w:eastAsia="仿宋_GB2312"/>
          <w:sz w:val="28"/>
          <w:szCs w:val="32"/>
        </w:rPr>
        <w:t>研究报告1份</w:t>
      </w:r>
    </w:p>
    <w:p>
      <w:pPr>
        <w:numPr>
          <w:ilvl w:val="0"/>
          <w:numId w:val="4"/>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提交云南省</w:t>
      </w:r>
      <w:r>
        <w:rPr>
          <w:rFonts w:hint="eastAsia" w:eastAsia="仿宋_GB2312"/>
          <w:sz w:val="28"/>
          <w:szCs w:val="32"/>
          <w:lang w:val="en-US" w:eastAsia="zh-CN"/>
        </w:rPr>
        <w:t>智慧物流</w:t>
      </w:r>
      <w:r>
        <w:rPr>
          <w:rFonts w:hint="eastAsia" w:eastAsia="仿宋_GB2312"/>
          <w:sz w:val="28"/>
          <w:szCs w:val="32"/>
        </w:rPr>
        <w:t>区块链</w:t>
      </w:r>
      <w:r>
        <w:rPr>
          <w:rFonts w:hint="eastAsia" w:eastAsia="仿宋_GB2312"/>
          <w:sz w:val="28"/>
          <w:szCs w:val="32"/>
          <w:lang w:val="en-US" w:eastAsia="zh-CN"/>
        </w:rPr>
        <w:t>应用平台</w:t>
      </w:r>
      <w:r>
        <w:rPr>
          <w:rFonts w:hint="eastAsia" w:eastAsia="仿宋_GB2312"/>
          <w:sz w:val="28"/>
          <w:szCs w:val="32"/>
        </w:rPr>
        <w:t>系统1</w:t>
      </w:r>
      <w:r>
        <w:rPr>
          <w:rFonts w:eastAsia="仿宋_GB2312"/>
          <w:sz w:val="28"/>
          <w:szCs w:val="32"/>
        </w:rPr>
        <w:t>套</w:t>
      </w:r>
    </w:p>
    <w:p>
      <w:pPr>
        <w:numPr>
          <w:ilvl w:val="0"/>
          <w:numId w:val="4"/>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应用示范，为不少于</w:t>
      </w:r>
      <w:r>
        <w:rPr>
          <w:rFonts w:hint="eastAsia" w:eastAsia="仿宋_GB2312"/>
          <w:sz w:val="28"/>
          <w:szCs w:val="32"/>
          <w:lang w:val="en-US" w:eastAsia="zh-CN"/>
        </w:rPr>
        <w:t>2</w:t>
      </w:r>
      <w:r>
        <w:rPr>
          <w:rFonts w:hint="eastAsia" w:eastAsia="仿宋_GB2312"/>
          <w:sz w:val="28"/>
          <w:szCs w:val="32"/>
        </w:rPr>
        <w:t>家</w:t>
      </w:r>
      <w:r>
        <w:rPr>
          <w:rFonts w:hint="eastAsia" w:eastAsia="仿宋_GB2312"/>
          <w:sz w:val="28"/>
          <w:szCs w:val="32"/>
          <w:lang w:val="en-US" w:eastAsia="zh-CN"/>
        </w:rPr>
        <w:t>物流</w:t>
      </w:r>
      <w:r>
        <w:rPr>
          <w:rFonts w:hint="eastAsia" w:eastAsia="仿宋_GB2312"/>
          <w:sz w:val="28"/>
          <w:szCs w:val="32"/>
        </w:rPr>
        <w:t>企业提供全链条</w:t>
      </w:r>
      <w:r>
        <w:rPr>
          <w:rFonts w:hint="eastAsia" w:eastAsia="仿宋_GB2312"/>
          <w:sz w:val="28"/>
          <w:szCs w:val="32"/>
          <w:lang w:val="en-US" w:eastAsia="zh-CN"/>
        </w:rPr>
        <w:t>应用</w:t>
      </w:r>
      <w:r>
        <w:rPr>
          <w:rFonts w:hint="eastAsia" w:eastAsia="仿宋_GB2312"/>
          <w:sz w:val="28"/>
          <w:szCs w:val="32"/>
        </w:rPr>
        <w:t>服务</w:t>
      </w:r>
    </w:p>
    <w:p>
      <w:pPr>
        <w:numPr>
          <w:ilvl w:val="0"/>
          <w:numId w:val="4"/>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申请软件著作权或专利5个</w:t>
      </w:r>
    </w:p>
    <w:p>
      <w:pPr>
        <w:numPr>
          <w:ilvl w:val="0"/>
          <w:numId w:val="4"/>
        </w:numPr>
        <w:adjustRightInd w:val="0"/>
        <w:snapToGrid w:val="0"/>
        <w:spacing w:line="600" w:lineRule="exact"/>
        <w:ind w:left="848" w:leftChars="203" w:hanging="422" w:hangingChars="151"/>
        <w:rPr>
          <w:rFonts w:hint="eastAsia" w:eastAsia="仿宋_GB2312"/>
          <w:sz w:val="28"/>
          <w:szCs w:val="32"/>
        </w:rPr>
      </w:pPr>
      <w:r>
        <w:rPr>
          <w:rFonts w:hint="eastAsia" w:eastAsia="仿宋_GB2312"/>
          <w:sz w:val="28"/>
          <w:szCs w:val="32"/>
        </w:rPr>
        <w:t>发表国内外重要学术期刊论文3篇</w:t>
      </w: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kern w:val="0"/>
          <w:sz w:val="24"/>
          <w:szCs w:val="24"/>
          <w:lang w:val="en-US" w:eastAsia="zh-CN" w:bidi="ar"/>
        </w:rPr>
      </w:pPr>
    </w:p>
    <w:p>
      <w:pPr>
        <w:adjustRightInd w:val="0"/>
        <w:snapToGrid w:val="0"/>
        <w:spacing w:line="600" w:lineRule="exact"/>
        <w:ind w:firstLine="641"/>
        <w:rPr>
          <w:rFonts w:hint="eastAsia" w:eastAsia="仿宋_GB2312"/>
          <w:sz w:val="28"/>
          <w:szCs w:val="32"/>
        </w:rPr>
      </w:pPr>
      <w:r>
        <w:rPr>
          <w:rFonts w:hint="eastAsia" w:eastAsia="仿宋_GB2312"/>
          <w:sz w:val="28"/>
          <w:szCs w:val="32"/>
          <w:lang w:val="en-US" w:eastAsia="zh-CN"/>
        </w:rPr>
        <w:t>九、建议单位</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云南省信息产业投资有限公司</w:t>
      </w:r>
    </w:p>
    <w:p>
      <w:pPr>
        <w:adjustRightInd w:val="0"/>
        <w:snapToGrid w:val="0"/>
        <w:spacing w:line="600" w:lineRule="exact"/>
        <w:ind w:firstLine="641"/>
        <w:rPr>
          <w:rFonts w:hint="eastAsia" w:eastAsia="仿宋_GB2312"/>
          <w:sz w:val="28"/>
          <w:szCs w:val="32"/>
          <w:lang w:val="en-US" w:eastAsia="zh-CN"/>
        </w:rPr>
      </w:pPr>
    </w:p>
    <w:p>
      <w:pPr>
        <w:adjustRightInd w:val="0"/>
        <w:snapToGrid w:val="0"/>
        <w:spacing w:line="600" w:lineRule="exact"/>
        <w:ind w:firstLine="641"/>
        <w:rPr>
          <w:rFonts w:hint="eastAsia" w:eastAsia="仿宋_GB2312"/>
          <w:sz w:val="28"/>
          <w:szCs w:val="32"/>
        </w:rPr>
      </w:pPr>
      <w:r>
        <w:rPr>
          <w:rFonts w:hint="eastAsia" w:eastAsia="仿宋_GB2312"/>
          <w:sz w:val="28"/>
          <w:szCs w:val="32"/>
          <w:lang w:val="en-US" w:eastAsia="zh-CN"/>
        </w:rPr>
        <w:t>十、编写人、联系人及联系电话（手机）</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尹子琴 13908714800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_GBK">
    <w:altName w:val="Arial Unicode MS"/>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BFCF"/>
    <w:multiLevelType w:val="singleLevel"/>
    <w:tmpl w:val="0CF8BFCF"/>
    <w:lvl w:ilvl="0" w:tentative="0">
      <w:start w:val="5"/>
      <w:numFmt w:val="chineseCounting"/>
      <w:suff w:val="nothing"/>
      <w:lvlText w:val="%1、"/>
      <w:lvlJc w:val="left"/>
      <w:rPr>
        <w:rFonts w:hint="eastAsia"/>
      </w:rPr>
    </w:lvl>
  </w:abstractNum>
  <w:abstractNum w:abstractNumId="1">
    <w:nsid w:val="289B0388"/>
    <w:multiLevelType w:val="multilevel"/>
    <w:tmpl w:val="289B0388"/>
    <w:lvl w:ilvl="0" w:tentative="0">
      <w:start w:val="1"/>
      <w:numFmt w:val="bullet"/>
      <w:lvlText w:val="—"/>
      <w:lvlJc w:val="left"/>
      <w:pPr>
        <w:ind w:left="1001" w:hanging="360"/>
      </w:pPr>
      <w:rPr>
        <w:rFonts w:hint="default" w:ascii="Times New Roman" w:hAnsi="Times New Roman" w:eastAsia="仿宋_GB2312" w:cs="Times New Roman"/>
      </w:rPr>
    </w:lvl>
    <w:lvl w:ilvl="1" w:tentative="0">
      <w:start w:val="1"/>
      <w:numFmt w:val="bullet"/>
      <w:lvlText w:val=""/>
      <w:lvlJc w:val="left"/>
      <w:pPr>
        <w:ind w:left="1601" w:hanging="480"/>
      </w:pPr>
      <w:rPr>
        <w:rFonts w:hint="default" w:ascii="Wingdings" w:hAnsi="Wingdings"/>
      </w:rPr>
    </w:lvl>
    <w:lvl w:ilvl="2" w:tentative="0">
      <w:start w:val="1"/>
      <w:numFmt w:val="bullet"/>
      <w:lvlText w:val=""/>
      <w:lvlJc w:val="left"/>
      <w:pPr>
        <w:ind w:left="2081" w:hanging="480"/>
      </w:pPr>
      <w:rPr>
        <w:rFonts w:hint="default" w:ascii="Wingdings" w:hAnsi="Wingdings"/>
      </w:rPr>
    </w:lvl>
    <w:lvl w:ilvl="3" w:tentative="0">
      <w:start w:val="1"/>
      <w:numFmt w:val="bullet"/>
      <w:lvlText w:val=""/>
      <w:lvlJc w:val="left"/>
      <w:pPr>
        <w:ind w:left="2561" w:hanging="480"/>
      </w:pPr>
      <w:rPr>
        <w:rFonts w:hint="default" w:ascii="Wingdings" w:hAnsi="Wingdings"/>
      </w:rPr>
    </w:lvl>
    <w:lvl w:ilvl="4" w:tentative="0">
      <w:start w:val="1"/>
      <w:numFmt w:val="bullet"/>
      <w:lvlText w:val=""/>
      <w:lvlJc w:val="left"/>
      <w:pPr>
        <w:ind w:left="3041" w:hanging="480"/>
      </w:pPr>
      <w:rPr>
        <w:rFonts w:hint="default" w:ascii="Wingdings" w:hAnsi="Wingdings"/>
      </w:rPr>
    </w:lvl>
    <w:lvl w:ilvl="5" w:tentative="0">
      <w:start w:val="1"/>
      <w:numFmt w:val="bullet"/>
      <w:lvlText w:val=""/>
      <w:lvlJc w:val="left"/>
      <w:pPr>
        <w:ind w:left="3521" w:hanging="480"/>
      </w:pPr>
      <w:rPr>
        <w:rFonts w:hint="default" w:ascii="Wingdings" w:hAnsi="Wingdings"/>
      </w:rPr>
    </w:lvl>
    <w:lvl w:ilvl="6" w:tentative="0">
      <w:start w:val="1"/>
      <w:numFmt w:val="bullet"/>
      <w:lvlText w:val=""/>
      <w:lvlJc w:val="left"/>
      <w:pPr>
        <w:ind w:left="4001" w:hanging="480"/>
      </w:pPr>
      <w:rPr>
        <w:rFonts w:hint="default" w:ascii="Wingdings" w:hAnsi="Wingdings"/>
      </w:rPr>
    </w:lvl>
    <w:lvl w:ilvl="7" w:tentative="0">
      <w:start w:val="1"/>
      <w:numFmt w:val="bullet"/>
      <w:lvlText w:val=""/>
      <w:lvlJc w:val="left"/>
      <w:pPr>
        <w:ind w:left="4481" w:hanging="480"/>
      </w:pPr>
      <w:rPr>
        <w:rFonts w:hint="default" w:ascii="Wingdings" w:hAnsi="Wingdings"/>
      </w:rPr>
    </w:lvl>
    <w:lvl w:ilvl="8" w:tentative="0">
      <w:start w:val="1"/>
      <w:numFmt w:val="bullet"/>
      <w:lvlText w:val=""/>
      <w:lvlJc w:val="left"/>
      <w:pPr>
        <w:ind w:left="4961" w:hanging="480"/>
      </w:pPr>
      <w:rPr>
        <w:rFonts w:hint="default" w:ascii="Wingdings" w:hAnsi="Wingdings"/>
      </w:rPr>
    </w:lvl>
  </w:abstractNum>
  <w:abstractNum w:abstractNumId="2">
    <w:nsid w:val="31C1A424"/>
    <w:multiLevelType w:val="singleLevel"/>
    <w:tmpl w:val="31C1A424"/>
    <w:lvl w:ilvl="0" w:tentative="0">
      <w:start w:val="1"/>
      <w:numFmt w:val="decimal"/>
      <w:suff w:val="nothing"/>
      <w:lvlText w:val="%1）"/>
      <w:lvlJc w:val="left"/>
    </w:lvl>
  </w:abstractNum>
  <w:abstractNum w:abstractNumId="3">
    <w:nsid w:val="77FD076C"/>
    <w:multiLevelType w:val="multilevel"/>
    <w:tmpl w:val="77FD076C"/>
    <w:lvl w:ilvl="0" w:tentative="0">
      <w:start w:val="1"/>
      <w:numFmt w:val="decimal"/>
      <w:lvlText w:val="%1、"/>
      <w:lvlJc w:val="left"/>
      <w:pPr>
        <w:ind w:left="1361" w:hanging="720"/>
      </w:pPr>
      <w:rPr>
        <w:rFonts w:hint="eastAsia"/>
      </w:rPr>
    </w:lvl>
    <w:lvl w:ilvl="1" w:tentative="0">
      <w:start w:val="1"/>
      <w:numFmt w:val="lowerLetter"/>
      <w:lvlText w:val="%2)"/>
      <w:lvlJc w:val="left"/>
      <w:pPr>
        <w:ind w:left="1601" w:hanging="480"/>
      </w:pPr>
    </w:lvl>
    <w:lvl w:ilvl="2" w:tentative="0">
      <w:start w:val="1"/>
      <w:numFmt w:val="lowerRoman"/>
      <w:lvlText w:val="%3."/>
      <w:lvlJc w:val="right"/>
      <w:pPr>
        <w:ind w:left="2081" w:hanging="480"/>
      </w:pPr>
    </w:lvl>
    <w:lvl w:ilvl="3" w:tentative="0">
      <w:start w:val="1"/>
      <w:numFmt w:val="decimal"/>
      <w:lvlText w:val="%4."/>
      <w:lvlJc w:val="left"/>
      <w:pPr>
        <w:ind w:left="2561" w:hanging="480"/>
      </w:pPr>
    </w:lvl>
    <w:lvl w:ilvl="4" w:tentative="0">
      <w:start w:val="1"/>
      <w:numFmt w:val="lowerLetter"/>
      <w:lvlText w:val="%5)"/>
      <w:lvlJc w:val="left"/>
      <w:pPr>
        <w:ind w:left="3041" w:hanging="480"/>
      </w:pPr>
    </w:lvl>
    <w:lvl w:ilvl="5" w:tentative="0">
      <w:start w:val="1"/>
      <w:numFmt w:val="lowerRoman"/>
      <w:lvlText w:val="%6."/>
      <w:lvlJc w:val="right"/>
      <w:pPr>
        <w:ind w:left="3521" w:hanging="480"/>
      </w:pPr>
    </w:lvl>
    <w:lvl w:ilvl="6" w:tentative="0">
      <w:start w:val="1"/>
      <w:numFmt w:val="decimal"/>
      <w:lvlText w:val="%7."/>
      <w:lvlJc w:val="left"/>
      <w:pPr>
        <w:ind w:left="4001" w:hanging="480"/>
      </w:pPr>
    </w:lvl>
    <w:lvl w:ilvl="7" w:tentative="0">
      <w:start w:val="1"/>
      <w:numFmt w:val="lowerLetter"/>
      <w:lvlText w:val="%8)"/>
      <w:lvlJc w:val="left"/>
      <w:pPr>
        <w:ind w:left="4481" w:hanging="480"/>
      </w:pPr>
    </w:lvl>
    <w:lvl w:ilvl="8" w:tentative="0">
      <w:start w:val="1"/>
      <w:numFmt w:val="lowerRoman"/>
      <w:lvlText w:val="%9."/>
      <w:lvlJc w:val="right"/>
      <w:pPr>
        <w:ind w:left="4961"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91B4C"/>
    <w:rsid w:val="0C591B4C"/>
    <w:rsid w:val="3CEE7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
    <w:basedOn w:val="1"/>
    <w:qFormat/>
    <w:uiPriority w:val="34"/>
    <w:pPr>
      <w:widowControl/>
      <w:ind w:firstLine="420" w:firstLineChars="200"/>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2019-02-14T15:19:00Z</dcterms:created>
  <dc:creator>Glu</dc:creator>
  <cp:lastModifiedBy>Glu</cp:lastModifiedBy>
  <dcterms:modified xsi:type="dcterms:W3CDTF">2019-02-14T15:44:51Z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