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41414"/>
          <w:sz w:val="56"/>
          <w:szCs w:val="56"/>
        </w:rPr>
        <w:t xml:space="preserve">ДОРОЖНЯ КАРТА</w:t>
      </w:r>
    </w:p>
    <w:p>
      <w:pPr>
        <w:spacing w:after="60" w:before="120"/>
        <w:jc w:val="center"/>
      </w:pPr>
      <w:r>
        <w:rPr>
          <w:rFonts w:ascii="Calibri" w:cs="Calibri" w:eastAsia="Calibri" w:hAnsi="Calibri"/>
          <w:color w:val="5C5C58"/>
          <w:sz w:val="24"/>
          <w:szCs w:val="24"/>
        </w:rPr>
        <w:t xml:space="preserve">Розробка і запуск платформи — від фундаменту до міжнародного масштабування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C5C58"/>
          <w:sz w:val="17"/>
          <w:szCs w:val="17"/>
        </w:rPr>
        <w:t xml:space="preserve">Зведення всіх попередніх напрацювань в один план дій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Ініціатор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Артем Глущенко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Тип документа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Дорожня карта розробки і запуску — пʼять фаз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Дата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01.09.2026</w:t>
            </w:r>
          </w:p>
        </w:tc>
      </w:tr>
    </w:tbl>
    <w:p>
      <w:r>
        <w:br w:type="page"/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Як читати цю карту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Карта складається з пʼяти послідовних фаз — від внутрішньої підготовки до міжнародного масштабування. Кожна фаза розбита на напрямки роботи (продукт, юридичне, фінансування, вихід на ринок, команда), а не лише на дедлайни. Це синтез усіх попередніх документів: концепції, місії, дослідження ринку, фінансової моделі й персон користувачів — в одному плані дій.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Відкриті рішення — закрити перед стартом Фази 0</w:t>
      </w:r>
    </w:p>
    <w:p>
      <w:pPr>
        <w:pBdr>
          <w:left w:val="single" w:color="9C4A2E" w:sz="16" w:space="8"/>
        </w:pBdr>
        <w:shd w:fill="FBF2EE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Це не дрібниці на потім. Кожен з цих пунктів або блокує, або суттєво здешевлює наступні фази, якщо закрити його зараз, а не по ходу.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Фінальна назва бренду — з переліку вигаданих слів (Atelio, Studyo, Vernissa, Portico, Fabrica, Kreo, Draftly, Sketchfolio, Craftfolio, Maketto) чи новий варіант; перевірити домен, апстор і торгову марку до реєстрації компанії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Гнучкість поля «навчальний заклад» при реєстрації — має приймати не лише класичні університети, а й школи гейм-дизайну, приватні студії, курси (виявлено в персоні Тимура)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Мінімальні правила для доставки фізичних обʼєктів (скульптура) — формалізувати хоча б базово, чи свідомо залишити повністю на розсуд сторін поза платформою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Юридична форма компанії і країна реєстрації — впливає на структуру платежів і на майбутні раунди фінансування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Канал залучення перших авторів у вертикалі «3D/Анімація» — окремий від університетської мережі (Discord-спільноти, школи гейм-дизайну), потребує окремого власника задачі</w:t>
      </w:r>
    </w:p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ФАЗА 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5C5C5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ФАЗА 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Фундамент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1–2 місяці до старту розробки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Напрямок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Що робимо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5C58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Технічна специфікація вже готова (Project-Market-Concept-Summary); обрати конкретну команду розробки — українську/CEE, узгодити обсяг MVP і бюджет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5C58"/>
                <w:sz w:val="18"/>
                <w:szCs w:val="18"/>
              </w:rPr>
              <w:t xml:space="preserve">Юридичне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Реєстрація юрособи; підготовка Умов використання і Політики конфіденційності з урахуванням самодекларації авторства (ПІБ, телефон, виш, факультет); реєстрація торгової марки під фінальну назву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5C58"/>
                <w:sz w:val="18"/>
                <w:szCs w:val="18"/>
              </w:rPr>
              <w:t xml:space="preserve">Фінансування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Бутстрап/friends &amp; family капітал ($10 000–$30 000); подання заявок на грантові й акселераційні програми підтримки українських техностартапів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5C58"/>
                <w:sz w:val="18"/>
                <w:szCs w:val="18"/>
              </w:rPr>
              <w:t xml:space="preserve">Вихід на ринок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Список перших партнерських вишів (KNUBA і ще кілька); окремо — початок присутності в Discord-спільнотах гейм-дизайну, без очікування запуску продукту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5C58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Визначити ролі: засновник (продукт/GTM) + технічний партнер або підрядна команда розробки</w:t>
            </w:r>
          </w:p>
        </w:tc>
      </w:tr>
    </w:tbl>
    <w:p>
      <w:pPr>
        <w:pBdr>
          <w:left w:val="single" w:color="2F6B3E" w:sz="16" w:space="8"/>
        </w:pBdr>
        <w:shd w:fill="EAF1EA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Вихід з Фази 0: закриті всі пункти з переліку «Відкриті рішення», підписана угода з командою розробки, є перший капітал на MVP.</w:t>
      </w:r>
    </w:p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ФАЗА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5C5C5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ФАЗА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Розробка MVP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2–4 місяці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Напрямок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Що робимо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5C58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Бекенд і адмінка (5 вертикалей зі структурованими картками Project DNA), мобільні застосунки iOS+Android, платежі, базова модерація, система статей (наукова і публіцистична), пошук/фільтри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5C58"/>
                <w:sz w:val="18"/>
                <w:szCs w:val="18"/>
              </w:rPr>
              <w:t xml:space="preserve">Юридичне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Фінальні правила щодо авторства й фізичної доставки закріплені в Умовах використання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5C58"/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Підготовка «посівного» контенту — приклади проєктів для наповнення платформи ще до публічного запуску, щоб перші відвідувачі не бачили порожню стрічку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5C58"/>
                <w:sz w:val="18"/>
                <w:szCs w:val="18"/>
              </w:rPr>
              <w:t xml:space="preserve">Вихід на ринок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Формальні домовленості (MoU) з першими партнерськими вишами; паралельно — активна присутність у 3D/гейм-дизайн спільнотах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C5C58"/>
                <w:sz w:val="18"/>
                <w:szCs w:val="18"/>
              </w:rPr>
              <w:t xml:space="preserve">Якість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Закрите бета-тестування на обмеженому колі студентів однієї-двох партнерських установ</w:t>
            </w:r>
          </w:p>
        </w:tc>
      </w:tr>
    </w:tbl>
    <w:p>
      <w:pPr>
        <w:pBdr>
          <w:left w:val="single" w:color="2F6B3E" w:sz="16" w:space="8"/>
        </w:pBdr>
        <w:shd w:fill="EAF1EA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Вихід з Фази 1: працюючий продукт у всіх пʼяти вертикалях, пройдене закрите бета-тестування, є мінімум один підписаний університетський партнер.</w:t>
      </w:r>
    </w:p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ФАЗА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2F5D8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ФАЗА 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Пілотний запуск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Рік 1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Напрямок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Що робимо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Публічний запуск усіх пʼяти вертикалей одночасно; збір фідбеку й швидкі ітерації на основі реальної поведінки користувачів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Вихід на ринок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Активація університетських партнерств для чотирьох «академічних» вертикалей; окремий, самостійний GTM-трек для 3D/анімації через Discord і гейм-школи — не копія університетської моделі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Контент і довіра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Запуск модерації статей (фаховий рецензент для наукових, редактор для публіцистичних); перші кейси зі статусом «Built», якщо трапляються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Фінансування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Підготовка до pre-seed раунду на основі перших реальних метрик — не раніше, ніж зʼявляться перші завершені транзакції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Орієнтир на метрики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5 000–10 000 користувачів, 300–800 завершених транзакцій за рік — див. фінансову модель</w:t>
            </w:r>
          </w:p>
        </w:tc>
      </w:tr>
    </w:tbl>
    <w:p>
      <w:pPr>
        <w:pBdr>
          <w:left w:val="single" w:color="2F6B3E" w:sz="16" w:space="8"/>
        </w:pBdr>
        <w:shd w:fill="EAF1EA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Рік 1 навмисно майже без доходу — мета фази не прибуток, а перевірка ліквідності: чи справді автори й покупці знаходять одне одного.</w:t>
      </w:r>
    </w:p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ФАЗА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2F5D8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ФАЗА 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Регіональне зростання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Рік 2–3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Напрямок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Що робимо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Активація відкладених на старті напрямів монетизації: платне просування оголошень, підписки для авторів, B2B-пошук для рекрутерів і девелоперів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Вихід на ринок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Європа стає основним ринком; масштабування університетських і гейм-дизайн партнерств на нові країни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Фінансування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Seed-раунд на основі метрик Року 1–2 (реалістично $50 000–$250 000 від регіонального ангела чи CEE-фонду)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Перші наймання — модерація контенту, підтримка партнерств, community management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Орієнтир на метрики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25 000–50 000 користувачів (Рік 2) → 80 000–150 000 (Рік 3); дохід $15 000–$180 000/рік залежно від року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ФАЗА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2F5D8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ФАЗА 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Міжнародне масштабування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Рік 3–10+</w:t>
            </w:r>
          </w:p>
        </w:tc>
      </w:tr>
    </w:tbl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Напрямок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Що робимо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Вихід на ринок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Північна Америка, Індія, Південно-Східна Азія; питання виходу в Китай постає окремо і вимагає самостійної локальної стратегії, а не органічного зростання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Бізнес-траєкторія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Можливий шлях до Series A або стратегічного продажу (реалістичний tuck-in $2–10 млн за сценарію спокійного зростання — Adobe, Autodesk, Epic Games/KitBash, Canva як найімовірніші покупці)</w:t>
            </w:r>
          </w:p>
        </w:tc>
      </w:tr>
      <w:tr>
        <w:tc>
          <w:tcPr>
            <w:tcW w:type="dxa" w:w="24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F5D8A"/>
                <w:sz w:val="18"/>
                <w:szCs w:val="18"/>
              </w:rPr>
              <w:t xml:space="preserve">Довгостроковий орієнтир</w:t>
            </w:r>
          </w:p>
        </w:tc>
        <w:tc>
          <w:tcPr>
            <w:tcW w:type="dxa" w:w="7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«Максимум» — реалістична стеля 5–15% активного адресного ринку (без Китаю) на горизонті 8–10+ років; вихід у Китай, якщо відбудеться, змінює порядок величини кардинально</w:t>
            </w:r>
          </w:p>
        </w:tc>
      </w:tr>
    </w:tbl>
    <w:p>
      <w:pPr>
        <w:pBdr>
          <w:left w:val="single" w:color="9C4A2E" w:sz="16" w:space="8"/>
        </w:pBdr>
        <w:shd w:fill="FBF2EE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Вихід на «максимум» — це горизонт, а не подія. Швидкість визначається не продуктом, а темпом інституційних партнерств по одному ринку за раз.</w:t>
      </w:r>
    </w:p>
    <w:p>
      <w:pPr>
        <w:spacing w:before="400"/>
      </w:pPr>
    </w:p>
    <w:p>
      <w:pPr>
        <w:spacing w:after="200"/>
      </w:pPr>
      <w:r>
        <w:rPr>
          <w:rFonts w:ascii="Calibri" w:cs="Calibri" w:eastAsia="Calibri" w:hAnsi="Calibri"/>
          <w:i/>
          <w:iCs/>
          <w:color w:val="5C5C58"/>
          <w:sz w:val="16"/>
          <w:szCs w:val="16"/>
        </w:rPr>
        <w:t xml:space="preserve">«Дорожня карта» — зведення всіх напрацювань · Артем Глущенко · 01.09.2026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2026-09-01T17:08:01.750Z</dcterms:created>
  <dcterms:modified xsi:type="dcterms:W3CDTF">2026-09-01T17:08:01.764Z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