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41414"/>
          <w:sz w:val="52"/>
          <w:szCs w:val="52"/>
        </w:rPr>
        <w:t xml:space="preserve">ФІНАНСОВА МОДЕЛЬ</w:t>
      </w:r>
    </w:p>
    <w:p>
      <w:pPr>
        <w:spacing w:after="60" w:before="120"/>
        <w:jc w:val="center"/>
      </w:pPr>
      <w:r>
        <w:rPr>
          <w:rFonts w:ascii="Calibri" w:cs="Calibri" w:eastAsia="Calibri" w:hAnsi="Calibri"/>
          <w:color w:val="5C5C58"/>
          <w:sz w:val="24"/>
          <w:szCs w:val="24"/>
        </w:rPr>
        <w:t xml:space="preserve">Вартість розробки, залучення коштів, оцінка вартості та сценарії продажу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C5C58"/>
          <w:sz w:val="17"/>
          <w:szCs w:val="17"/>
        </w:rPr>
        <w:t xml:space="preserve">Попередній аналіз, побудований на реальних ринкових орієнтирах 2026 року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Ініціатор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Артем Глущенко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Тип документа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Попередній фінансовий аналіз — витрати, залучення капіталу, оцінка вартості, вихід</w:t>
            </w:r>
          </w:p>
        </w:tc>
      </w:tr>
      <w:tr>
        <w:tc>
          <w:tcPr>
            <w:tcW w:type="dxa" w:w="3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Дата</w:t>
            </w:r>
          </w:p>
        </w:tc>
        <w:tc>
          <w:tcPr>
            <w:tcW w:type="dxa" w:w="5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01.09.2026</w:t>
            </w:r>
          </w:p>
        </w:tc>
      </w:tr>
    </w:tbl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Методологічне застереження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Це попередня, ілюстративна фінансова модель — не аудований прогноз і не інвестиційна рекомендація. Витрати на розробку і ринки капіталу перевірені пошуком станом на 2026 рік. Прогноз доходів, кількості користувачів і оцінка вартості компанії на Рік 1–3 — це змодельовані припущення на основі TAM/SAM з попереднього дослідження ринку, а не факти.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1. Мінімальні кошти на розробку і запуск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Оцінка на основі поточних ставок українських/східноєвропейських команд розробки ($25–$80/год залежно від рівня, за ринковими даними 2025–2026) і складності продукту: пʼять вертикалей зі структурованими метаданими, мобільні застосунки, платежі, модерація, система статей.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138"/>
      </w:tblGrid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Стаття витрат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Оцінка, $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Коментар</w:t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Бекенд + адмін-панель (структуровані картки, пошук/фільтри, модерація, статті)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$18 000–$35 000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найбільша частка обсягу робіт</w:t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Мобільні застосунки iOS + Android (крос-платформа)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$15 000–$30 000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React Native чи аналог замість двох нативних команд</w:t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UX/UI дизайн (~15–20 екранів)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$5 000–$10 000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Інтеграція платежів (Stripe/аналог)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$3 000–$6 000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без повноцінного ескроу на старті</w:t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QA, DevOps, менеджмент проєкту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$5 000–$10 000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Юридичне оформлення (компанія, умови використання, політика конфіденційності)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$3 000–$8 000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більше, якщо мультикраїнова структура одразу</w:t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Інфраструктура/хостинг на перший рік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$2 000–$5 000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Запуск і перші інституційні партнерства (без масової реклами)</w:t>
            </w:r>
          </w:p>
        </w:tc>
        <w:tc>
          <w:tcPr>
            <w:tcW w:type="dxa" w:w="25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$5 000–$15 000</w:t>
            </w:r>
          </w:p>
        </w:tc>
        <w:tc>
          <w:tcPr>
            <w:tcW w:type="dxa" w:w="31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основний канал — університети, не платна реклама</w:t>
            </w:r>
          </w:p>
        </w:tc>
      </w:tr>
    </w:tbl>
    <w:p>
      <w:pPr>
        <w:spacing w:before="2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$50 000–$60 000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мінімальний реалістичний поріг (максимально ощадливо)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$60 000–$130 000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комфортний бюджет розробки і запуску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$150 000+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при роботі із західною агенцією чи нативними мобільними додатками</w:t>
            </w:r>
          </w:p>
        </w:tc>
      </w:tr>
    </w:tbl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2. Скільки можна залучити на старті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Американські бенчмарки pre-seed 2026 року — медіана $1–1,2 млн — не застосовні напряму до цього проєкту: до-запусковий етап, споживчий (не AI/SaaS) сектор, який традиційно залучає на 50–60% менше за середній ринок, і контекст українського фаундера без попередніх виходів.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$10 000–$30 000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бутстрап / друзі та родина — реалістичний перший капітал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$50 000–$250 000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регіональний ангел-інвестор чи невеликий український/CEE фонд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до $300 000–500 000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верхня межа за умови сильної презентації міжнародному pre-seed фонду чи акселератору</w:t>
            </w:r>
          </w:p>
        </w:tc>
      </w:tr>
    </w:tbl>
    <w:p>
      <w:pPr>
        <w:spacing w:before="220"/>
      </w:pP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Додатковий, недилюційний шлях фінансування: грантові та акселераційні програми підтримки українських технологічних стартапів — логічне продовження того самого підходу до пошуку фінансування, який вже застосовується в інших проєктах (гранти для Агенції регіонального розвитку, МедіаВежі).</w:t>
      </w:r>
    </w:p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3. Модель зростання при спокійному, поступовому розвитку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Побудовано на фазах з попереднього дослідження ринку (Пілот → Регіональне зростання → Міжнародне масштабування). Це не агресивний хокейний сценарій — навмисно консервативні цифри.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6"/>
        <w:gridCol w:w="2546"/>
        <w:gridCol w:w="2546"/>
      </w:tblGrid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Показник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Рік 1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Рік 2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Рік 3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Зареєстровані користувачі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5 000–10 000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25 000–50 000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80 000–150 000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Завершені транзакції/рік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300–800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3 000–7 000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12 000–25 000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GMV (обіг продажів)/рік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$15 000–$55 000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$180 000–$560 000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$720 000–$2,5 млн</w:t>
            </w:r>
          </w:p>
        </w:tc>
      </w:tr>
      <w:tr>
        <w:tc>
          <w:tcPr>
            <w:tcW w:type="dxa" w:w="20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Дохід платформи (5% + просування з Року 2)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$750–$2 750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$15 000–$40 000</w:t>
            </w:r>
          </w:p>
        </w:tc>
        <w:tc>
          <w:tcPr>
            <w:tcW w:type="dxa" w:w="2546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$60 000–$180 000</w:t>
            </w:r>
          </w:p>
        </w:tc>
      </w:tr>
    </w:tbl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Рік 1 практично без доходу — це нормально й очікувано для маркетплейсу з мережевим ефектом: перший рік про ліквідність (кількість авторів і покупців), не про прибуток.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4. Оцінка вартості компанії</w:t>
      </w:r>
    </w:p>
    <w:p>
      <w:pPr>
        <w:spacing w:after="150" w:line="3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41414"/>
          <w:sz w:val="21"/>
          <w:szCs w:val="21"/>
        </w:rPr>
        <w:t xml:space="preserve">Ранні маркетплейси рідко оцінюються за поточним доходом — надто малі й шумні цифри. Оцінка спирається на комбінацію: порівняльні угоди, стадійні бенчмарки ринку капіталу (розділ 2) і мультиплікатор доходу, типовий для маркетплейсів на ранній стадії (10–40x річного доходу, а не 3–5x, як у зрілого бізнесу — покупці/інвестори платять за мережу й позицію в ніші, не лише за поточний кешфлоу).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$0,3–1,5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орієнтовна оцінка після Року 1 (рівень pre-seed/раннього seed)</w:t>
            </w:r>
          </w:p>
        </w:tc>
        <w:tc>
          <w:tcPr>
            <w:tcW w:type="dxa" w:w="3212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$1–4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орієнтовна оцінка після Року 2 (рівень seed)</w:t>
            </w:r>
          </w:p>
        </w:tc>
        <w:tc>
          <w:tcPr>
            <w:tcW w:type="dxa" w:w="3214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2F6FA" w:val="clear"/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5D8A"/>
                <w:sz w:val="28"/>
                <w:szCs w:val="28"/>
              </w:rPr>
              <w:t xml:space="preserve">$3–12 млн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5C58"/>
                <w:sz w:val="15"/>
                <w:szCs w:val="15"/>
              </w:rPr>
              <w:t xml:space="preserve">орієнтовна оцінка після Року 3 (наближення до Series A або привабливий tuck-in для стратега)</w:t>
            </w:r>
          </w:p>
        </w:tc>
      </w:tr>
    </w:tbl>
    <w:p>
      <w:r>
        <w:br w:type="page"/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5. Порівняльні угоди на ринку (реальні прецеденти)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00"/>
        <w:gridCol w:w="3638"/>
      </w:tblGrid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Компанія</w:t>
            </w:r>
          </w:p>
        </w:tc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Покупець</w:t>
            </w:r>
          </w:p>
        </w:tc>
        <w:tc>
          <w:tcPr>
            <w:tcW w:type="dxa" w:w="16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Рік</w:t>
            </w:r>
          </w:p>
        </w:tc>
        <w:tc>
          <w:tcPr>
            <w:tcW w:type="dxa" w:w="3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DCE6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41414"/>
                <w:sz w:val="18"/>
                <w:szCs w:val="18"/>
              </w:rPr>
              <w:t xml:space="preserve">Сума й контекст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Behance (портфоліо для креативних professionals)</w:t>
            </w:r>
          </w:p>
        </w:tc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Adobe</w:t>
            </w:r>
          </w:p>
        </w:tc>
        <w:tc>
          <w:tcPr>
            <w:tcW w:type="dxa" w:w="16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2012</w:t>
            </w:r>
          </w:p>
        </w:tc>
        <w:tc>
          <w:tcPr>
            <w:tcW w:type="dxa" w:w="3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≈$150 млн (за даними 10-K Adobe — $130 млн) — після залучення лише $6,5 млн і кількох років зростання до мільйонів користувачів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Creative Market (маркетплейс дизайн-активів)</w:t>
            </w:r>
          </w:p>
        </w:tc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Autodesk → незалежний спін-аут ($7 млн) → Dribbble</w:t>
            </w:r>
          </w:p>
        </w:tc>
        <w:tc>
          <w:tcPr>
            <w:tcW w:type="dxa" w:w="16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2014 / 2017 / 2020</w:t>
            </w:r>
          </w:p>
        </w:tc>
        <w:tc>
          <w:tcPr>
            <w:tcW w:type="dxa" w:w="3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сума не розкрита жодного разу; спін-аут 2017 р. відбувся за $7 млн залучених інвестицій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Dribbble (портфоліо + робота для дизайнерів)</w:t>
            </w:r>
          </w:p>
        </w:tc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Tiny (холдинг-компанія)</w:t>
            </w:r>
          </w:p>
        </w:tc>
        <w:tc>
          <w:tcPr>
            <w:tcW w:type="dxa" w:w="16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2017</w:t>
            </w:r>
          </w:p>
        </w:tc>
        <w:tc>
          <w:tcPr>
            <w:tcW w:type="dxa" w:w="3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сума не розкрита; на 2022 р. дохід компанії — $16 млн, 16+ млн користувачів</w:t>
            </w:r>
          </w:p>
        </w:tc>
      </w:tr>
      <w:tr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ArtStation + Sketchfab (портфоліо й маркетплейс 3D)</w:t>
            </w:r>
          </w:p>
        </w:tc>
        <w:tc>
          <w:tcPr>
            <w:tcW w:type="dxa" w:w="22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Epic Games → KitBash</w:t>
            </w:r>
          </w:p>
        </w:tc>
        <w:tc>
          <w:tcPr>
            <w:tcW w:type="dxa" w:w="1600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2021 → серпень 2026</w:t>
            </w:r>
          </w:p>
        </w:tc>
        <w:tc>
          <w:tcPr>
            <w:tcW w:type="dxa" w:w="3638"/>
            <w:tcBorders>
              <w:top w:val="single" w:color="E4E4E1" w:sz="2"/>
              <w:left w:val="single" w:color="E4E4E1" w:sz="2"/>
              <w:bottom w:val="single" w:color="E4E4E1" w:sz="2"/>
              <w:right w:val="single" w:color="E4E4E1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41414"/>
                <w:sz w:val="18"/>
                <w:szCs w:val="18"/>
              </w:rPr>
              <w:t xml:space="preserve">сума не розкрита в жодній з двох угод; Epic продав через 5 років володіння, консолідація ринку триває просто зараз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Джерела: Crunchbase, SEC 10-K Adobe, Wikipedia, TechCrunch, GameDeveloper.com, Epic Games офіційна заява (серпень 2026).</w:t>
      </w:r>
    </w:p>
    <w:p>
      <w:pPr>
        <w:spacing w:after="180" w:before="400"/>
      </w:pPr>
      <w:r>
        <w:rPr>
          <w:rFonts w:ascii="Calibri" w:cs="Calibri" w:eastAsia="Calibri" w:hAnsi="Calibri"/>
          <w:b/>
          <w:bCs/>
          <w:color w:val="141414"/>
          <w:sz w:val="30"/>
          <w:szCs w:val="30"/>
        </w:rPr>
        <w:t xml:space="preserve">6. За скільки і кому можна продати</w:t>
      </w:r>
    </w:p>
    <w:p>
      <w:pPr>
        <w:pBdr>
          <w:left w:val="single" w:color="9C4A2E" w:sz="16" w:space="8"/>
        </w:pBdr>
        <w:shd w:fill="FBF2EE" w:val="clear"/>
        <w:spacing w:after="200" w:before="120"/>
      </w:pPr>
      <w:r>
        <w:rPr>
          <w:rFonts w:ascii="Calibri" w:cs="Calibri" w:eastAsia="Calibri" w:hAnsi="Calibri"/>
          <w:i/>
          <w:iCs/>
          <w:color w:val="2B2B2B"/>
          <w:sz w:val="20"/>
          <w:szCs w:val="20"/>
        </w:rPr>
        <w:t xml:space="preserve">Чесний орієнтир: за сценарію «спокійного зростання» після Року 3 (дохід $60 000–180 000/рік) реалістичний діапазон продажу — $2–10 млн, як стратегічне придбання (tuck-in) заради технології, бази користувачів і позиції в ніші, а не угода рівня Behance. Щоб вийти на $50–150 млн+, потрібні мільйони користувачів і 7–10+ років стійкого зростання — той самий горизонт, що й у попередньому дослідженні ринку для «максимуму».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F5D8A"/>
          <w:sz w:val="22"/>
          <w:szCs w:val="22"/>
        </w:rPr>
        <w:t xml:space="preserve">Найімовірніші стратегічні покупці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Adobe — має прямий прецедент (Behance) і екосистему Creative Cloud, куди природно лягає структурована комерція творчих робіт і молодша, студентська аудиторія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Autodesk — лідер архітектурного й дизайн-софту, має прецедент (Creative Market), природна синергія саме з вертикалями «архітектура» і «дизайн»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Epic Games / KitBash (чи подібний консолідатор 3D-активів) — щойно (серпень 2026) підтвердив активну стратегію консолідації саме в цій ніші, природний покупець вертикалі «цифрове мистецтво/3D/анімація»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Canva — агресивний покупець у дизайн-суміжному просторі, може шукати вхід у студентську аудиторію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OLX Group / Prosus чи подібний класифайд-конгломерат — вертикальне розширення, з огляду на явну спорідненість механіки продукту з класифайдами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Регіональний/український стратегічний покупець чи EdTech-компанія — менш імовірна премія в оцінці, але реалістичний покупець на ранній стадії</w:t>
      </w:r>
    </w:p>
    <w:p>
      <w:pPr>
        <w:spacing w:before="400"/>
      </w:pPr>
    </w:p>
    <w:p>
      <w:pPr>
        <w:spacing w:after="200"/>
      </w:pPr>
      <w:r>
        <w:rPr>
          <w:rFonts w:ascii="Calibri" w:cs="Calibri" w:eastAsia="Calibri" w:hAnsi="Calibri"/>
          <w:i/>
          <w:iCs/>
          <w:color w:val="5C5C58"/>
          <w:sz w:val="16"/>
          <w:szCs w:val="16"/>
        </w:rPr>
        <w:t xml:space="preserve">«Фінансова модель» — попередній аналіз · Артем Глущенко · 01.09.2026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2026-09-01T16:49:31.488Z</dcterms:created>
  <dcterms:modified xsi:type="dcterms:W3CDTF">2026-09-01T16:49:31.503Z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