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color w:val="141414"/>
          <w:sz w:val="56"/>
          <w:szCs w:val="56"/>
        </w:rPr>
        <w:t xml:space="preserve">ХТО САМЕ</w:t>
      </w:r>
    </w:p>
    <w:p>
      <w:pPr>
        <w:spacing w:after="60" w:before="120"/>
        <w:jc w:val="center"/>
      </w:pPr>
      <w:r>
        <w:rPr>
          <w:rFonts w:ascii="Calibri" w:cs="Calibri" w:eastAsia="Calibri" w:hAnsi="Calibri"/>
          <w:color w:val="5C5C58"/>
          <w:sz w:val="25"/>
          <w:szCs w:val="25"/>
        </w:rPr>
        <w:t xml:space="preserve">Персони та шлях користувача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5C5C58"/>
          <w:sz w:val="17"/>
          <w:szCs w:val="17"/>
        </w:rPr>
        <w:t xml:space="preserve">Пʼять авторів, два покупці — і що їхні шляхи підтверджують чи ставлять під питання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0"/>
      </w:tblGrid>
      <w:tr>
        <w:tc>
          <w:tcPr>
            <w:tcW w:type="dxa" w:w="30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DCE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8"/>
                <w:szCs w:val="18"/>
              </w:rPr>
              <w:t xml:space="preserve">Ініціатор</w:t>
            </w:r>
          </w:p>
        </w:tc>
        <w:tc>
          <w:tcPr>
            <w:tcW w:type="dxa" w:w="55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Артем Глущенко</w:t>
            </w:r>
          </w:p>
        </w:tc>
      </w:tr>
      <w:tr>
        <w:tc>
          <w:tcPr>
            <w:tcW w:type="dxa" w:w="30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DCE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8"/>
                <w:szCs w:val="18"/>
              </w:rPr>
              <w:t xml:space="preserve">Тип документа</w:t>
            </w:r>
          </w:p>
        </w:tc>
        <w:tc>
          <w:tcPr>
            <w:tcW w:type="dxa" w:w="55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Персони та шлях користувача (UX research)</w:t>
            </w:r>
          </w:p>
        </w:tc>
      </w:tr>
      <w:tr>
        <w:tc>
          <w:tcPr>
            <w:tcW w:type="dxa" w:w="30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DCE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8"/>
                <w:szCs w:val="18"/>
              </w:rPr>
              <w:t xml:space="preserve">Дата</w:t>
            </w:r>
          </w:p>
        </w:tc>
        <w:tc>
          <w:tcPr>
            <w:tcW w:type="dxa" w:w="55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01.09.2026</w:t>
            </w:r>
          </w:p>
        </w:tc>
      </w:tr>
    </w:tbl>
    <w:p>
      <w:r>
        <w:br w:type="page"/>
      </w:r>
    </w:p>
    <w:p>
      <w:pPr>
        <w:spacing w:after="180" w:before="420"/>
      </w:pPr>
      <w:r>
        <w:rPr>
          <w:rFonts w:ascii="Calibri" w:cs="Calibri" w:eastAsia="Calibri" w:hAnsi="Calibri"/>
          <w:b/>
          <w:bCs/>
          <w:color w:val="141414"/>
          <w:sz w:val="30"/>
          <w:szCs w:val="30"/>
        </w:rPr>
        <w:t xml:space="preserve">Навіщо цей документ</w:t>
      </w:r>
    </w:p>
    <w:p>
      <w:pPr>
        <w:spacing w:after="13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4"/>
          <w:sz w:val="20"/>
          <w:szCs w:val="20"/>
        </w:rPr>
        <w:t xml:space="preserve">Усі попередні документи описували систему: вертикалі, метадані, монетизацію, ринок. Жоден не показував живу людину, яка відкриває застосунок вперше. Цей документ закриває саме цю прогалину — і використовує персон не як ілюстрацію, а як перевірку: чи справді структура, яку ми вже затвердили, витримує зіткнення з реальною поведінкою.</w:t>
      </w:r>
    </w:p>
    <w:p>
      <w:r>
        <w:br w:type="pag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5C5C58"/>
          <w:spacing w:val="20"/>
          <w:sz w:val="15"/>
          <w:szCs w:val="15"/>
        </w:rPr>
        <w:t xml:space="preserve">АВТОР 1 З 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2F5D8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6"/>
                <w:sz w:val="15"/>
                <w:szCs w:val="15"/>
              </w:rPr>
              <w:t xml:space="preserve">АРХІТЕКТУРА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27"/>
                <w:szCs w:val="27"/>
              </w:rPr>
              <w:t xml:space="preserve">Марія Коваль, 22 роки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F0EFEA"/>
                <w:sz w:val="18"/>
                <w:szCs w:val="18"/>
              </w:rPr>
              <w:t xml:space="preserve">5 курс, КНУБА, спеціальність 191 · Київ</w:t>
            </w:r>
          </w:p>
        </w:tc>
      </w:tr>
    </w:tbl>
    <w:p>
      <w:pPr>
        <w:spacing w:before="200"/>
      </w:pP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color w:val="141414"/>
          <w:sz w:val="20"/>
          <w:szCs w:val="20"/>
        </w:rPr>
        <w:t xml:space="preserve">Ситуація: </w:t>
      </w:r>
      <w:r>
        <w:rPr>
          <w:rFonts w:ascii="Calibri" w:cs="Calibri" w:eastAsia="Calibri" w:hAnsi="Calibri"/>
          <w:color w:val="141414"/>
          <w:sz w:val="20"/>
          <w:szCs w:val="20"/>
        </w:rPr>
        <w:t xml:space="preserve">Дипломний проєкт «Житловий комплекс для студентського містечка» готовий, захист — за два місяці. Науковий керівник хвалить, комісія оцінить, а далі файл ляже в папку «Диплом_фінал_v14», яку більше ніхто не відкриє.</w:t>
      </w: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color w:val="141414"/>
          <w:sz w:val="20"/>
          <w:szCs w:val="20"/>
        </w:rPr>
        <w:t xml:space="preserve">Мотивація: </w:t>
      </w:r>
      <w:r>
        <w:rPr>
          <w:rFonts w:ascii="Calibri" w:cs="Calibri" w:eastAsia="Calibri" w:hAnsi="Calibri"/>
          <w:color w:val="141414"/>
          <w:sz w:val="20"/>
          <w:szCs w:val="20"/>
        </w:rPr>
        <w:t xml:space="preserve">Не гроші в першу чергу — видимість. Хоче, щоб роботу побачили поза межами трьох членів комісії. Дохід — приємний бонус, не головна мета.</w:t>
      </w:r>
    </w:p>
    <w:p>
      <w:pPr>
        <w:pBdr>
          <w:left w:val="single" w:color="2F5D8A" w:sz="18" w:space="10"/>
        </w:pBdr>
        <w:spacing w:after="160" w:before="140"/>
      </w:pPr>
      <w:r>
        <w:rPr>
          <w:rFonts w:ascii="Calibri" w:cs="Calibri" w:eastAsia="Calibri" w:hAnsi="Calibri"/>
          <w:b/>
          <w:bCs/>
          <w:i/>
          <w:iCs/>
          <w:color w:val="2B2B2B"/>
          <w:sz w:val="21"/>
          <w:szCs w:val="21"/>
        </w:rPr>
        <w:t xml:space="preserve">«Я півроку рахувала навантаження на перекриття. Після захисту цей файл більше ніхто не відкриє.»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22"/>
                <w:szCs w:val="22"/>
              </w:rPr>
              <w:t xml:space="preserve">1</w:t>
            </w:r>
          </w:p>
        </w:tc>
        <w:tc>
          <w:tcPr>
            <w:tcW w:type="dxa" w:w="89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9"/>
                <w:szCs w:val="19"/>
              </w:rPr>
              <w:t xml:space="preserve">Дізнається — </w:t>
            </w:r>
            <w:r>
              <w:rPr>
                <w:rFonts w:ascii="Calibri" w:cs="Calibri" w:eastAsia="Calibri" w:hAnsi="Calibri"/>
                <w:color w:val="141414"/>
                <w:sz w:val="19"/>
                <w:szCs w:val="19"/>
              </w:rPr>
              <w:t xml:space="preserve">викладач згадує платформу на парі, або однокурсник ділиться посиланням</w:t>
            </w:r>
          </w:p>
        </w:tc>
      </w:tr>
      <w:tr>
        <w:tc>
          <w:tcPr>
            <w:tcW w:type="dxa" w:w="7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22"/>
                <w:szCs w:val="22"/>
              </w:rPr>
              <w:t xml:space="preserve">2</w:t>
            </w:r>
          </w:p>
        </w:tc>
        <w:tc>
          <w:tcPr>
            <w:tcW w:type="dxa" w:w="89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9"/>
                <w:szCs w:val="19"/>
              </w:rPr>
              <w:t xml:space="preserve">Реєструється — </w:t>
            </w:r>
            <w:r>
              <w:rPr>
                <w:rFonts w:ascii="Calibri" w:cs="Calibri" w:eastAsia="Calibri" w:hAnsi="Calibri"/>
                <w:color w:val="141414"/>
                <w:sz w:val="19"/>
                <w:szCs w:val="19"/>
              </w:rPr>
              <w:t xml:space="preserve">вказує ПІБ, телефон, повну назву ВУЗу (КНУБА), факультет; підтверджує самостійну відповідальність за авторське право</w:t>
            </w:r>
          </w:p>
        </w:tc>
      </w:tr>
      <w:tr>
        <w:tc>
          <w:tcPr>
            <w:tcW w:type="dxa" w:w="7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22"/>
                <w:szCs w:val="22"/>
              </w:rPr>
              <w:t xml:space="preserve">3</w:t>
            </w:r>
          </w:p>
        </w:tc>
        <w:tc>
          <w:tcPr>
            <w:tcW w:type="dxa" w:w="89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9"/>
                <w:szCs w:val="19"/>
              </w:rPr>
              <w:t xml:space="preserve">Завантажує проєкт — </w:t>
            </w:r>
            <w:r>
              <w:rPr>
                <w:rFonts w:ascii="Calibri" w:cs="Calibri" w:eastAsia="Calibri" w:hAnsi="Calibri"/>
                <w:color w:val="141414"/>
                <w:sz w:val="19"/>
                <w:szCs w:val="19"/>
              </w:rPr>
              <w:t xml:space="preserve">вертикаль «Архітектура»; заповнює Project DNA — тип, площа, поверховість, рік, статус «Academic»; завантажує рендери, плани, 3D-модель</w:t>
            </w:r>
          </w:p>
        </w:tc>
      </w:tr>
      <w:tr>
        <w:tc>
          <w:tcPr>
            <w:tcW w:type="dxa" w:w="7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22"/>
                <w:szCs w:val="22"/>
              </w:rPr>
              <w:t xml:space="preserve">4</w:t>
            </w:r>
          </w:p>
        </w:tc>
        <w:tc>
          <w:tcPr>
            <w:tcW w:type="dxa" w:w="89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9"/>
                <w:szCs w:val="19"/>
              </w:rPr>
              <w:t xml:space="preserve">Прикріплює статтю — </w:t>
            </w:r>
            <w:r>
              <w:rPr>
                <w:rFonts w:ascii="Calibri" w:cs="Calibri" w:eastAsia="Calibri" w:hAnsi="Calibri"/>
                <w:color w:val="141414"/>
                <w:sz w:val="19"/>
                <w:szCs w:val="19"/>
              </w:rPr>
              <w:t xml:space="preserve">додає наукову статтю (фактично — доопрацьовану пояснювальну записку до диплому) як матеріал, привʼязаний до проєкту</w:t>
            </w:r>
          </w:p>
        </w:tc>
      </w:tr>
      <w:tr>
        <w:tc>
          <w:tcPr>
            <w:tcW w:type="dxa" w:w="7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22"/>
                <w:szCs w:val="22"/>
              </w:rPr>
              <w:t xml:space="preserve">5</w:t>
            </w:r>
          </w:p>
        </w:tc>
        <w:tc>
          <w:tcPr>
            <w:tcW w:type="dxa" w:w="89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9"/>
                <w:szCs w:val="19"/>
              </w:rPr>
              <w:t xml:space="preserve">Встановлює ціну — </w:t>
            </w:r>
            <w:r>
              <w:rPr>
                <w:rFonts w:ascii="Calibri" w:cs="Calibri" w:eastAsia="Calibri" w:hAnsi="Calibri"/>
                <w:color w:val="141414"/>
                <w:sz w:val="19"/>
                <w:szCs w:val="19"/>
              </w:rPr>
              <w:t xml:space="preserve">вагається між «лише портфоліо» і продажем; зрештою ставить помірну ціну — хоче перевірити, чи механізм взагалі працює</w:t>
            </w:r>
          </w:p>
        </w:tc>
      </w:tr>
      <w:tr>
        <w:tc>
          <w:tcPr>
            <w:tcW w:type="dxa" w:w="7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22"/>
                <w:szCs w:val="22"/>
              </w:rPr>
              <w:t xml:space="preserve">6</w:t>
            </w:r>
          </w:p>
        </w:tc>
        <w:tc>
          <w:tcPr>
            <w:tcW w:type="dxa" w:w="89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9"/>
                <w:szCs w:val="19"/>
              </w:rPr>
              <w:t xml:space="preserve">Публікується — </w:t>
            </w:r>
            <w:r>
              <w:rPr>
                <w:rFonts w:ascii="Calibri" w:cs="Calibri" w:eastAsia="Calibri" w:hAnsi="Calibri"/>
                <w:color w:val="141414"/>
                <w:sz w:val="19"/>
                <w:szCs w:val="19"/>
              </w:rPr>
              <w:t xml:space="preserve">проєкт проходить базову модерацію, зʼявляється в пошуку за фільтрами Project DNA</w:t>
            </w:r>
          </w:p>
        </w:tc>
      </w:tr>
      <w:tr>
        <w:tc>
          <w:tcPr>
            <w:tcW w:type="dxa" w:w="7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22"/>
                <w:szCs w:val="22"/>
              </w:rPr>
              <w:t xml:space="preserve">7</w:t>
            </w:r>
          </w:p>
        </w:tc>
        <w:tc>
          <w:tcPr>
            <w:tcW w:type="dxa" w:w="89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9"/>
                <w:szCs w:val="19"/>
              </w:rPr>
              <w:t xml:space="preserve">Отримує контакт — </w:t>
            </w:r>
            <w:r>
              <w:rPr>
                <w:rFonts w:ascii="Calibri" w:cs="Calibri" w:eastAsia="Calibri" w:hAnsi="Calibri"/>
                <w:color w:val="141414"/>
                <w:sz w:val="19"/>
                <w:szCs w:val="19"/>
              </w:rPr>
              <w:t xml:space="preserve">девелопер з Польщі, що шукав «житло, 5000–8000 м², Європа», знаходить проєкт через фільтри й пише напряму</w:t>
            </w:r>
          </w:p>
        </w:tc>
      </w:tr>
      <w:tr>
        <w:tc>
          <w:tcPr>
            <w:tcW w:type="dxa" w:w="7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22"/>
                <w:szCs w:val="22"/>
              </w:rPr>
              <w:t xml:space="preserve">8</w:t>
            </w:r>
          </w:p>
        </w:tc>
        <w:tc>
          <w:tcPr>
            <w:tcW w:type="dxa" w:w="89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9"/>
                <w:szCs w:val="19"/>
              </w:rPr>
              <w:t xml:space="preserve">Продає — </w:t>
            </w:r>
            <w:r>
              <w:rPr>
                <w:rFonts w:ascii="Calibri" w:cs="Calibri" w:eastAsia="Calibri" w:hAnsi="Calibri"/>
                <w:color w:val="141414"/>
                <w:sz w:val="19"/>
                <w:szCs w:val="19"/>
              </w:rPr>
              <w:t xml:space="preserve">угода закрита, платформа бере 5%; статус змінюється на «Sold/Licensed»</w:t>
            </w:r>
          </w:p>
        </w:tc>
      </w:tr>
      <w:tr>
        <w:tc>
          <w:tcPr>
            <w:tcW w:type="dxa" w:w="7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22"/>
                <w:szCs w:val="22"/>
              </w:rPr>
              <w:t xml:space="preserve">9</w:t>
            </w:r>
          </w:p>
        </w:tc>
        <w:tc>
          <w:tcPr>
            <w:tcW w:type="dxa" w:w="89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9"/>
                <w:szCs w:val="19"/>
              </w:rPr>
              <w:t xml:space="preserve">Через рік — «Built» — </w:t>
            </w:r>
            <w:r>
              <w:rPr>
                <w:rFonts w:ascii="Calibri" w:cs="Calibri" w:eastAsia="Calibri" w:hAnsi="Calibri"/>
                <w:color w:val="141414"/>
                <w:sz w:val="19"/>
                <w:szCs w:val="19"/>
              </w:rPr>
              <w:t xml:space="preserve">девелопер починає реалізацію на основі концепту; статус проєкту оновлюється на «Built» — найсильніша можлива історія для стрічки й PR</w:t>
            </w:r>
          </w:p>
        </w:tc>
      </w:tr>
    </w:tbl>
    <w:p>
      <w:r>
        <w:br w:type="pag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5C5C58"/>
          <w:spacing w:val="20"/>
          <w:sz w:val="15"/>
          <w:szCs w:val="15"/>
        </w:rPr>
        <w:t xml:space="preserve">АВТОР 2 З 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9C4A2E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6"/>
                <w:sz w:val="15"/>
                <w:szCs w:val="15"/>
              </w:rPr>
              <w:t xml:space="preserve">ОБРАЗОТВОРЧЕ МИСТЕЦТВО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27"/>
                <w:szCs w:val="27"/>
              </w:rPr>
              <w:t xml:space="preserve">Олексій Гриценко, 24 роки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F0EFEA"/>
                <w:sz w:val="18"/>
                <w:szCs w:val="18"/>
              </w:rPr>
              <w:t xml:space="preserve">випускник художньої академії (2 роки тому) · працює не за фахом</w:t>
            </w:r>
          </w:p>
        </w:tc>
      </w:tr>
    </w:tbl>
    <w:p>
      <w:pPr>
        <w:spacing w:before="200"/>
      </w:pP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color w:val="141414"/>
          <w:sz w:val="20"/>
          <w:szCs w:val="20"/>
        </w:rPr>
        <w:t xml:space="preserve">Ситуація: </w:t>
      </w:r>
      <w:r>
        <w:rPr>
          <w:rFonts w:ascii="Calibri" w:cs="Calibri" w:eastAsia="Calibri" w:hAnsi="Calibri"/>
          <w:color w:val="141414"/>
          <w:sz w:val="20"/>
          <w:szCs w:val="20"/>
        </w:rPr>
        <w:t xml:space="preserve">Продовжує писати картини вечорами, продає зрідка знайомим чи на локальних ярмарках за символічні гроші. На відміну від Марії, тут немає «одного диплома» — є постійний потік нових робіт без системного каналу продажу.</w:t>
      </w: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color w:val="141414"/>
          <w:sz w:val="20"/>
          <w:szCs w:val="20"/>
        </w:rPr>
        <w:t xml:space="preserve">Мотивація: </w:t>
      </w:r>
      <w:r>
        <w:rPr>
          <w:rFonts w:ascii="Calibri" w:cs="Calibri" w:eastAsia="Calibri" w:hAnsi="Calibri"/>
          <w:color w:val="141414"/>
          <w:sz w:val="20"/>
          <w:szCs w:val="20"/>
        </w:rPr>
        <w:t xml:space="preserve">Стабільний канал, не разова видимість. Головне — щоб кожна нова робота автоматично мала шанс знайти покупця, а не губилась серед стрічки друзів в Instagram.</w:t>
      </w:r>
    </w:p>
    <w:p>
      <w:pPr>
        <w:pBdr>
          <w:left w:val="single" w:color="9C4A2E" w:sz="18" w:space="10"/>
        </w:pBdr>
        <w:spacing w:after="160" w:before="140"/>
      </w:pPr>
      <w:r>
        <w:rPr>
          <w:rFonts w:ascii="Calibri" w:cs="Calibri" w:eastAsia="Calibri" w:hAnsi="Calibri"/>
          <w:b/>
          <w:bCs/>
          <w:i/>
          <w:iCs/>
          <w:color w:val="2B2B2B"/>
          <w:sz w:val="21"/>
          <w:szCs w:val="21"/>
        </w:rPr>
        <w:t xml:space="preserve">«Instagram показує мою роботу друзям. Тут я хочу, щоб її побачив хтось, готовий заплатити.»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4A2E"/>
                <w:sz w:val="22"/>
                <w:szCs w:val="22"/>
              </w:rPr>
              <w:t xml:space="preserve">1</w:t>
            </w:r>
          </w:p>
        </w:tc>
        <w:tc>
          <w:tcPr>
            <w:tcW w:type="dxa" w:w="89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9"/>
                <w:szCs w:val="19"/>
              </w:rPr>
              <w:t xml:space="preserve">Дізнається — </w:t>
            </w:r>
            <w:r>
              <w:rPr>
                <w:rFonts w:ascii="Calibri" w:cs="Calibri" w:eastAsia="Calibri" w:hAnsi="Calibri"/>
                <w:color w:val="141414"/>
                <w:sz w:val="19"/>
                <w:szCs w:val="19"/>
              </w:rPr>
              <w:t xml:space="preserve">не через виш (він уже випускник) — через спільноту художників у соцмережах</w:t>
            </w:r>
          </w:p>
        </w:tc>
      </w:tr>
      <w:tr>
        <w:tc>
          <w:tcPr>
            <w:tcW w:type="dxa" w:w="7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4A2E"/>
                <w:sz w:val="22"/>
                <w:szCs w:val="22"/>
              </w:rPr>
              <w:t xml:space="preserve">2</w:t>
            </w:r>
          </w:p>
        </w:tc>
        <w:tc>
          <w:tcPr>
            <w:tcW w:type="dxa" w:w="89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9"/>
                <w:szCs w:val="19"/>
              </w:rPr>
              <w:t xml:space="preserve">Реєструється — </w:t>
            </w:r>
            <w:r>
              <w:rPr>
                <w:rFonts w:ascii="Calibri" w:cs="Calibri" w:eastAsia="Calibri" w:hAnsi="Calibri"/>
                <w:color w:val="141414"/>
                <w:sz w:val="19"/>
                <w:szCs w:val="19"/>
              </w:rPr>
              <w:t xml:space="preserve">вказує виш, де навчався, навіть постфактум — платформа не обмежена лише поточними студентами</w:t>
            </w:r>
          </w:p>
        </w:tc>
      </w:tr>
      <w:tr>
        <w:tc>
          <w:tcPr>
            <w:tcW w:type="dxa" w:w="7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4A2E"/>
                <w:sz w:val="22"/>
                <w:szCs w:val="22"/>
              </w:rPr>
              <w:t xml:space="preserve">3</w:t>
            </w:r>
          </w:p>
        </w:tc>
        <w:tc>
          <w:tcPr>
            <w:tcW w:type="dxa" w:w="89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9"/>
                <w:szCs w:val="19"/>
              </w:rPr>
              <w:t xml:space="preserve">Завантажує роботу — </w:t>
            </w:r>
            <w:r>
              <w:rPr>
                <w:rFonts w:ascii="Calibri" w:cs="Calibri" w:eastAsia="Calibri" w:hAnsi="Calibri"/>
                <w:color w:val="141414"/>
                <w:sz w:val="19"/>
                <w:szCs w:val="19"/>
              </w:rPr>
              <w:t xml:space="preserve">вертикаль «Образотворче мистецтво»; техніка (олія на полотні), розмір, рік, тип (оригінал)</w:t>
            </w:r>
          </w:p>
        </w:tc>
      </w:tr>
      <w:tr>
        <w:tc>
          <w:tcPr>
            <w:tcW w:type="dxa" w:w="7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4A2E"/>
                <w:sz w:val="22"/>
                <w:szCs w:val="22"/>
              </w:rPr>
              <w:t xml:space="preserve">4</w:t>
            </w:r>
          </w:p>
        </w:tc>
        <w:tc>
          <w:tcPr>
            <w:tcW w:type="dxa" w:w="89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9"/>
                <w:szCs w:val="19"/>
              </w:rPr>
              <w:t xml:space="preserve">Архів росте — </w:t>
            </w:r>
            <w:r>
              <w:rPr>
                <w:rFonts w:ascii="Calibri" w:cs="Calibri" w:eastAsia="Calibri" w:hAnsi="Calibri"/>
                <w:color w:val="141414"/>
                <w:sz w:val="19"/>
                <w:szCs w:val="19"/>
              </w:rPr>
              <w:t xml:space="preserve">поступово завантажує весь корпус робіт за останні два роки — цінність саме в архіві, що накопичується, а не в одній публікації</w:t>
            </w:r>
          </w:p>
        </w:tc>
      </w:tr>
      <w:tr>
        <w:tc>
          <w:tcPr>
            <w:tcW w:type="dxa" w:w="7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4A2E"/>
                <w:sz w:val="22"/>
                <w:szCs w:val="22"/>
              </w:rPr>
              <w:t xml:space="preserve">5</w:t>
            </w:r>
          </w:p>
        </w:tc>
        <w:tc>
          <w:tcPr>
            <w:tcW w:type="dxa" w:w="89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9"/>
                <w:szCs w:val="19"/>
              </w:rPr>
              <w:t xml:space="preserve">Встановлює ціну — </w:t>
            </w:r>
            <w:r>
              <w:rPr>
                <w:rFonts w:ascii="Calibri" w:cs="Calibri" w:eastAsia="Calibri" w:hAnsi="Calibri"/>
                <w:color w:val="141414"/>
                <w:sz w:val="19"/>
                <w:szCs w:val="19"/>
              </w:rPr>
              <w:t xml:space="preserve">сам вирішує вартість кожної картини — без нав’язаних рівнів ліцензії</w:t>
            </w:r>
          </w:p>
        </w:tc>
      </w:tr>
      <w:tr>
        <w:tc>
          <w:tcPr>
            <w:tcW w:type="dxa" w:w="7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4A2E"/>
                <w:sz w:val="22"/>
                <w:szCs w:val="22"/>
              </w:rPr>
              <w:t xml:space="preserve">6</w:t>
            </w:r>
          </w:p>
        </w:tc>
        <w:tc>
          <w:tcPr>
            <w:tcW w:type="dxa" w:w="89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9"/>
                <w:szCs w:val="19"/>
              </w:rPr>
              <w:t xml:space="preserve">Отримує соціальний відгук — </w:t>
            </w:r>
            <w:r>
              <w:rPr>
                <w:rFonts w:ascii="Calibri" w:cs="Calibri" w:eastAsia="Calibri" w:hAnsi="Calibri"/>
                <w:color w:val="141414"/>
                <w:sz w:val="19"/>
                <w:szCs w:val="19"/>
              </w:rPr>
              <w:t xml:space="preserve">лайки й підписники (Instagram-шар) ще до першого продажу — підтримує мотивацію лишатись на платформі</w:t>
            </w:r>
          </w:p>
        </w:tc>
      </w:tr>
      <w:tr>
        <w:tc>
          <w:tcPr>
            <w:tcW w:type="dxa" w:w="7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4A2E"/>
                <w:sz w:val="22"/>
                <w:szCs w:val="22"/>
              </w:rPr>
              <w:t xml:space="preserve">7</w:t>
            </w:r>
          </w:p>
        </w:tc>
        <w:tc>
          <w:tcPr>
            <w:tcW w:type="dxa" w:w="89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9"/>
                <w:szCs w:val="19"/>
              </w:rPr>
              <w:t xml:space="preserve">Перший продаж — </w:t>
            </w:r>
            <w:r>
              <w:rPr>
                <w:rFonts w:ascii="Calibri" w:cs="Calibri" w:eastAsia="Calibri" w:hAnsi="Calibri"/>
                <w:color w:val="141414"/>
                <w:sz w:val="19"/>
                <w:szCs w:val="19"/>
              </w:rPr>
              <w:t xml:space="preserve">дизайнер інтер’єрів, що шукав «живопис, теплі тони, 100×150 см», купує роботу</w:t>
            </w:r>
          </w:p>
        </w:tc>
      </w:tr>
      <w:tr>
        <w:tc>
          <w:tcPr>
            <w:tcW w:type="dxa" w:w="7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C4A2E"/>
                <w:sz w:val="22"/>
                <w:szCs w:val="22"/>
              </w:rPr>
              <w:t xml:space="preserve">8</w:t>
            </w:r>
          </w:p>
        </w:tc>
        <w:tc>
          <w:tcPr>
            <w:tcW w:type="dxa" w:w="89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9"/>
                <w:szCs w:val="19"/>
              </w:rPr>
              <w:t xml:space="preserve">Стає постійним автором — </w:t>
            </w:r>
            <w:r>
              <w:rPr>
                <w:rFonts w:ascii="Calibri" w:cs="Calibri" w:eastAsia="Calibri" w:hAnsi="Calibri"/>
                <w:color w:val="141414"/>
                <w:sz w:val="19"/>
                <w:szCs w:val="19"/>
              </w:rPr>
              <w:t xml:space="preserve">цикл повторюється з кожною новою роботою — платформа стає постійним каналом, а не одноразовою дією</w:t>
            </w:r>
          </w:p>
        </w:tc>
      </w:tr>
    </w:tbl>
    <w:p>
      <w:r>
        <w:br w:type="pag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5C5C58"/>
          <w:spacing w:val="20"/>
          <w:sz w:val="15"/>
          <w:szCs w:val="15"/>
        </w:rPr>
        <w:t xml:space="preserve">АВТОР 3 З 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6B4A8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6"/>
                <w:sz w:val="15"/>
                <w:szCs w:val="15"/>
              </w:rPr>
              <w:t xml:space="preserve">СКУЛЬПТУРА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27"/>
                <w:szCs w:val="27"/>
              </w:rPr>
              <w:t xml:space="preserve">Дарина Мельник, 27 років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F0EFEA"/>
                <w:sz w:val="18"/>
                <w:szCs w:val="18"/>
              </w:rPr>
              <w:t xml:space="preserve">скульпторка-фрилансерка, 3 роки після випуску</w:t>
            </w:r>
          </w:p>
        </w:tc>
      </w:tr>
    </w:tbl>
    <w:p>
      <w:pPr>
        <w:spacing w:before="200"/>
      </w:pP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color w:val="141414"/>
          <w:sz w:val="20"/>
          <w:szCs w:val="20"/>
        </w:rPr>
        <w:t xml:space="preserve">Ситуація: </w:t>
      </w:r>
      <w:r>
        <w:rPr>
          <w:rFonts w:ascii="Calibri" w:cs="Calibri" w:eastAsia="Calibri" w:hAnsi="Calibri"/>
          <w:color w:val="141414"/>
          <w:sz w:val="20"/>
          <w:szCs w:val="20"/>
        </w:rPr>
        <w:t xml:space="preserve">Кілька завершених робіт стоять у майстерні. Фізичну скульптуру продати онлайн складніше, ніж картину, — покупець має зрозуміти обʼєм, вагу, можливість перевезення, а не лише побачити фото.</w:t>
      </w: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color w:val="141414"/>
          <w:sz w:val="20"/>
          <w:szCs w:val="20"/>
        </w:rPr>
        <w:t xml:space="preserve">Мотивація: </w:t>
      </w:r>
      <w:r>
        <w:rPr>
          <w:rFonts w:ascii="Calibri" w:cs="Calibri" w:eastAsia="Calibri" w:hAnsi="Calibri"/>
          <w:color w:val="141414"/>
          <w:sz w:val="20"/>
          <w:szCs w:val="20"/>
        </w:rPr>
        <w:t xml:space="preserve">І дохід, і громадська позиція. Активно цікавиться темою знищення памʼяток культурної спадщини і хоче про це писати, не лише продавати.</w:t>
      </w:r>
    </w:p>
    <w:p>
      <w:pPr>
        <w:pBdr>
          <w:left w:val="single" w:color="6B4A8A" w:sz="18" w:space="10"/>
        </w:pBdr>
        <w:spacing w:after="160" w:before="140"/>
      </w:pPr>
      <w:r>
        <w:rPr>
          <w:rFonts w:ascii="Calibri" w:cs="Calibri" w:eastAsia="Calibri" w:hAnsi="Calibri"/>
          <w:b/>
          <w:bCs/>
          <w:i/>
          <w:iCs/>
          <w:color w:val="2B2B2B"/>
          <w:sz w:val="21"/>
          <w:szCs w:val="21"/>
        </w:rPr>
        <w:t xml:space="preserve">«Скульптуру не можна просто «відправити файлом». Покупець має зрозуміти вагу, розмір, як це взагалі привезти.»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A8A"/>
                <w:sz w:val="22"/>
                <w:szCs w:val="22"/>
              </w:rPr>
              <w:t xml:space="preserve">1</w:t>
            </w:r>
          </w:p>
        </w:tc>
        <w:tc>
          <w:tcPr>
            <w:tcW w:type="dxa" w:w="89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9"/>
                <w:szCs w:val="19"/>
              </w:rPr>
              <w:t xml:space="preserve">Дізнається — </w:t>
            </w:r>
            <w:r>
              <w:rPr>
                <w:rFonts w:ascii="Calibri" w:cs="Calibri" w:eastAsia="Calibri" w:hAnsi="Calibri"/>
                <w:color w:val="141414"/>
                <w:sz w:val="19"/>
                <w:szCs w:val="19"/>
              </w:rPr>
              <w:t xml:space="preserve">через професійну спільноту скульпторів</w:t>
            </w:r>
          </w:p>
        </w:tc>
      </w:tr>
      <w:tr>
        <w:tc>
          <w:tcPr>
            <w:tcW w:type="dxa" w:w="7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A8A"/>
                <w:sz w:val="22"/>
                <w:szCs w:val="22"/>
              </w:rPr>
              <w:t xml:space="preserve">2</w:t>
            </w:r>
          </w:p>
        </w:tc>
        <w:tc>
          <w:tcPr>
            <w:tcW w:type="dxa" w:w="89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9"/>
                <w:szCs w:val="19"/>
              </w:rPr>
              <w:t xml:space="preserve">Завантажує роботу — </w:t>
            </w:r>
            <w:r>
              <w:rPr>
                <w:rFonts w:ascii="Calibri" w:cs="Calibri" w:eastAsia="Calibri" w:hAnsi="Calibri"/>
                <w:color w:val="141414"/>
                <w:sz w:val="19"/>
                <w:szCs w:val="19"/>
              </w:rPr>
              <w:t xml:space="preserve">вертикаль «Скульптура»; матеріал (бронза), висота, вага, наклад/edition, indoor/outdoor — саме тому ці поля виділені окремо від живопису</w:t>
            </w:r>
          </w:p>
        </w:tc>
      </w:tr>
      <w:tr>
        <w:tc>
          <w:tcPr>
            <w:tcW w:type="dxa" w:w="7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A8A"/>
                <w:sz w:val="22"/>
                <w:szCs w:val="22"/>
              </w:rPr>
              <w:t xml:space="preserve">3</w:t>
            </w:r>
          </w:p>
        </w:tc>
        <w:tc>
          <w:tcPr>
            <w:tcW w:type="dxa" w:w="89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9"/>
                <w:szCs w:val="19"/>
              </w:rPr>
              <w:t xml:space="preserve">Пише самостійну статтю — </w:t>
            </w:r>
            <w:r>
              <w:rPr>
                <w:rFonts w:ascii="Calibri" w:cs="Calibri" w:eastAsia="Calibri" w:hAnsi="Calibri"/>
                <w:color w:val="141414"/>
                <w:sz w:val="19"/>
                <w:szCs w:val="19"/>
              </w:rPr>
              <w:t xml:space="preserve">публіцистична стаття без прив’язки до конкретного проєкту, з архівними фото — тема «знищення памʼятки архітектури» в її місті, рубрика «охорона й втрата спадщини»</w:t>
            </w:r>
          </w:p>
        </w:tc>
      </w:tr>
      <w:tr>
        <w:tc>
          <w:tcPr>
            <w:tcW w:type="dxa" w:w="7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A8A"/>
                <w:sz w:val="22"/>
                <w:szCs w:val="22"/>
              </w:rPr>
              <w:t xml:space="preserve">4</w:t>
            </w:r>
          </w:p>
        </w:tc>
        <w:tc>
          <w:tcPr>
            <w:tcW w:type="dxa" w:w="89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9"/>
                <w:szCs w:val="19"/>
              </w:rPr>
              <w:t xml:space="preserve">Стаття модерується — </w:t>
            </w:r>
            <w:r>
              <w:rPr>
                <w:rFonts w:ascii="Calibri" w:cs="Calibri" w:eastAsia="Calibri" w:hAnsi="Calibri"/>
                <w:color w:val="141414"/>
                <w:sz w:val="19"/>
                <w:szCs w:val="19"/>
              </w:rPr>
              <w:t xml:space="preserve">редакторська перевірка (не наукова рецензія — це публіцистичний, а не науковий текст)</w:t>
            </w:r>
          </w:p>
        </w:tc>
      </w:tr>
      <w:tr>
        <w:tc>
          <w:tcPr>
            <w:tcW w:type="dxa" w:w="7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A8A"/>
                <w:sz w:val="22"/>
                <w:szCs w:val="22"/>
              </w:rPr>
              <w:t xml:space="preserve">5</w:t>
            </w:r>
          </w:p>
        </w:tc>
        <w:tc>
          <w:tcPr>
            <w:tcW w:type="dxa" w:w="89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9"/>
                <w:szCs w:val="19"/>
              </w:rPr>
              <w:t xml:space="preserve">Отримує впізнаваність — </w:t>
            </w:r>
            <w:r>
              <w:rPr>
                <w:rFonts w:ascii="Calibri" w:cs="Calibri" w:eastAsia="Calibri" w:hAnsi="Calibri"/>
                <w:color w:val="141414"/>
                <w:sz w:val="19"/>
                <w:szCs w:val="19"/>
              </w:rPr>
              <w:t xml:space="preserve">стаття підвищує довіру до профілю ще до першого продажу скульптури</w:t>
            </w:r>
          </w:p>
        </w:tc>
      </w:tr>
      <w:tr>
        <w:tc>
          <w:tcPr>
            <w:tcW w:type="dxa" w:w="7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A8A"/>
                <w:sz w:val="22"/>
                <w:szCs w:val="22"/>
              </w:rPr>
              <w:t xml:space="preserve">6</w:t>
            </w:r>
          </w:p>
        </w:tc>
        <w:tc>
          <w:tcPr>
            <w:tcW w:type="dxa" w:w="89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9"/>
                <w:szCs w:val="19"/>
              </w:rPr>
              <w:t xml:space="preserve">Покупця приводить стаття — </w:t>
            </w:r>
            <w:r>
              <w:rPr>
                <w:rFonts w:ascii="Calibri" w:cs="Calibri" w:eastAsia="Calibri" w:hAnsi="Calibri"/>
                <w:color w:val="141414"/>
                <w:sz w:val="19"/>
                <w:szCs w:val="19"/>
              </w:rPr>
              <w:t xml:space="preserve">галерея знаходить її саме через статтю, а не через маркетплейс-пошук — контент став каналом залучення покупця</w:t>
            </w:r>
          </w:p>
        </w:tc>
      </w:tr>
      <w:tr>
        <w:tc>
          <w:tcPr>
            <w:tcW w:type="dxa" w:w="7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4A8A"/>
                <w:sz w:val="22"/>
                <w:szCs w:val="22"/>
              </w:rPr>
              <w:t xml:space="preserve">7</w:t>
            </w:r>
          </w:p>
        </w:tc>
        <w:tc>
          <w:tcPr>
            <w:tcW w:type="dxa" w:w="89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9"/>
                <w:szCs w:val="19"/>
              </w:rPr>
              <w:t xml:space="preserve">Домовляється окремо — </w:t>
            </w:r>
            <w:r>
              <w:rPr>
                <w:rFonts w:ascii="Calibri" w:cs="Calibri" w:eastAsia="Calibri" w:hAnsi="Calibri"/>
                <w:color w:val="141414"/>
                <w:sz w:val="19"/>
                <w:szCs w:val="19"/>
              </w:rPr>
              <w:t xml:space="preserve">логістику доставки погоджує з покупцем поза платформою; платформа звела сторони й забезпечила угоду з комісією 5%</w:t>
            </w:r>
          </w:p>
        </w:tc>
      </w:tr>
    </w:tbl>
    <w:p>
      <w:r>
        <w:br w:type="pag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5C5C58"/>
          <w:spacing w:val="20"/>
          <w:sz w:val="15"/>
          <w:szCs w:val="15"/>
        </w:rPr>
        <w:t xml:space="preserve">АВТОР 4 З 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2F8A6B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6"/>
                <w:sz w:val="15"/>
                <w:szCs w:val="15"/>
              </w:rPr>
              <w:t xml:space="preserve">ДИЗАЙН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27"/>
                <w:szCs w:val="27"/>
              </w:rPr>
              <w:t xml:space="preserve">Ігор Савчук, 23 роки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F0EFEA"/>
                <w:sz w:val="18"/>
                <w:szCs w:val="18"/>
              </w:rPr>
              <w:t xml:space="preserve">магістр промислового дизайну · захистився 3 місяці тому</w:t>
            </w:r>
          </w:p>
        </w:tc>
      </w:tr>
    </w:tbl>
    <w:p>
      <w:pPr>
        <w:spacing w:before="200"/>
      </w:pP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color w:val="141414"/>
          <w:sz w:val="20"/>
          <w:szCs w:val="20"/>
        </w:rPr>
        <w:t xml:space="preserve">Ситуація: </w:t>
      </w:r>
      <w:r>
        <w:rPr>
          <w:rFonts w:ascii="Calibri" w:cs="Calibri" w:eastAsia="Calibri" w:hAnsi="Calibri"/>
          <w:color w:val="141414"/>
          <w:sz w:val="20"/>
          <w:szCs w:val="20"/>
        </w:rPr>
        <w:t xml:space="preserve">Розробив концепт модульних меблів для курсової — якісний CAD-файл, рендери, робочі креслення. Після захисту — та сама доля, що і в Марії: файл, який більше не відкриють.</w:t>
      </w: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color w:val="141414"/>
          <w:sz w:val="20"/>
          <w:szCs w:val="20"/>
        </w:rPr>
        <w:t xml:space="preserve">Мотивація: </w:t>
      </w:r>
      <w:r>
        <w:rPr>
          <w:rFonts w:ascii="Calibri" w:cs="Calibri" w:eastAsia="Calibri" w:hAnsi="Calibri"/>
          <w:color w:val="141414"/>
          <w:sz w:val="20"/>
          <w:szCs w:val="20"/>
        </w:rPr>
        <w:t xml:space="preserve">Не хоче йти у фриланс-конвеєр на кшталт Upwork. Хоче, щоб саме цю розробку побачив виробник і зробив її реальним продуктом.</w:t>
      </w:r>
    </w:p>
    <w:p>
      <w:pPr>
        <w:pBdr>
          <w:left w:val="single" w:color="2F8A6B" w:sz="18" w:space="10"/>
        </w:pBdr>
        <w:spacing w:after="160" w:before="140"/>
      </w:pPr>
      <w:r>
        <w:rPr>
          <w:rFonts w:ascii="Calibri" w:cs="Calibri" w:eastAsia="Calibri" w:hAnsi="Calibri"/>
          <w:b/>
          <w:bCs/>
          <w:i/>
          <w:iCs/>
          <w:color w:val="2B2B2B"/>
          <w:sz w:val="21"/>
          <w:szCs w:val="21"/>
        </w:rPr>
        <w:t xml:space="preserve">«Я не хочу бути меблевим дизайнером-фрилансером на біржі. Я хочу, щоб хтось побачив саме цю розробку і зробив її реальною.»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8A6B"/>
                <w:sz w:val="22"/>
                <w:szCs w:val="22"/>
              </w:rPr>
              <w:t xml:space="preserve">1</w:t>
            </w:r>
          </w:p>
        </w:tc>
        <w:tc>
          <w:tcPr>
            <w:tcW w:type="dxa" w:w="89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9"/>
                <w:szCs w:val="19"/>
              </w:rPr>
              <w:t xml:space="preserve">Реєструється й завантажує — </w:t>
            </w:r>
            <w:r>
              <w:rPr>
                <w:rFonts w:ascii="Calibri" w:cs="Calibri" w:eastAsia="Calibri" w:hAnsi="Calibri"/>
                <w:color w:val="141414"/>
                <w:sz w:val="19"/>
                <w:szCs w:val="19"/>
              </w:rPr>
              <w:t xml:space="preserve">вертикаль «Дизайн»; тип (меблі), формат файлу, ліцензія використання, софт, виробничі файли (DWG/STEP)</w:t>
            </w:r>
          </w:p>
        </w:tc>
      </w:tr>
      <w:tr>
        <w:tc>
          <w:tcPr>
            <w:tcW w:type="dxa" w:w="7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8A6B"/>
                <w:sz w:val="22"/>
                <w:szCs w:val="22"/>
              </w:rPr>
              <w:t xml:space="preserve">2</w:t>
            </w:r>
          </w:p>
        </w:tc>
        <w:tc>
          <w:tcPr>
            <w:tcW w:type="dxa" w:w="89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9"/>
                <w:szCs w:val="19"/>
              </w:rPr>
              <w:t xml:space="preserve">Встановлює ціну — </w:t>
            </w:r>
            <w:r>
              <w:rPr>
                <w:rFonts w:ascii="Calibri" w:cs="Calibri" w:eastAsia="Calibri" w:hAnsi="Calibri"/>
                <w:color w:val="141414"/>
                <w:sz w:val="19"/>
                <w:szCs w:val="19"/>
              </w:rPr>
              <w:t xml:space="preserve">закладає в ціну саме ліцензію на виробництво, не одноразовий перегляд файлу</w:t>
            </w:r>
          </w:p>
        </w:tc>
      </w:tr>
      <w:tr>
        <w:tc>
          <w:tcPr>
            <w:tcW w:type="dxa" w:w="7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8A6B"/>
                <w:sz w:val="22"/>
                <w:szCs w:val="22"/>
              </w:rPr>
              <w:t xml:space="preserve">3</w:t>
            </w:r>
          </w:p>
        </w:tc>
        <w:tc>
          <w:tcPr>
            <w:tcW w:type="dxa" w:w="89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9"/>
                <w:szCs w:val="19"/>
              </w:rPr>
              <w:t xml:space="preserve">Індексується за фільтрами — </w:t>
            </w:r>
            <w:r>
              <w:rPr>
                <w:rFonts w:ascii="Calibri" w:cs="Calibri" w:eastAsia="Calibri" w:hAnsi="Calibri"/>
                <w:color w:val="141414"/>
                <w:sz w:val="19"/>
                <w:szCs w:val="19"/>
              </w:rPr>
              <w:t xml:space="preserve">потрапляє в пошук за категорією «продукт-дизайн», типом меблів, матеріалом</w:t>
            </w:r>
          </w:p>
        </w:tc>
      </w:tr>
      <w:tr>
        <w:tc>
          <w:tcPr>
            <w:tcW w:type="dxa" w:w="7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8A6B"/>
                <w:sz w:val="22"/>
                <w:szCs w:val="22"/>
              </w:rPr>
              <w:t xml:space="preserve">4</w:t>
            </w:r>
          </w:p>
        </w:tc>
        <w:tc>
          <w:tcPr>
            <w:tcW w:type="dxa" w:w="89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9"/>
                <w:szCs w:val="19"/>
              </w:rPr>
              <w:t xml:space="preserve">Виробник знаходить проєкт — </w:t>
            </w:r>
            <w:r>
              <w:rPr>
                <w:rFonts w:ascii="Calibri" w:cs="Calibri" w:eastAsia="Calibri" w:hAnsi="Calibri"/>
                <w:color w:val="141414"/>
                <w:sz w:val="19"/>
                <w:szCs w:val="19"/>
              </w:rPr>
              <w:t xml:space="preserve">меблева компанія шукає готові концепти для виробництва — саме така поведінка, яку не покриває жоден фриланс-майданчик</w:t>
            </w:r>
          </w:p>
        </w:tc>
      </w:tr>
      <w:tr>
        <w:tc>
          <w:tcPr>
            <w:tcW w:type="dxa" w:w="7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8A6B"/>
                <w:sz w:val="22"/>
                <w:szCs w:val="22"/>
              </w:rPr>
              <w:t xml:space="preserve">5</w:t>
            </w:r>
          </w:p>
        </w:tc>
        <w:tc>
          <w:tcPr>
            <w:tcW w:type="dxa" w:w="89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9"/>
                <w:szCs w:val="19"/>
              </w:rPr>
              <w:t xml:space="preserve">Купує ліцензію — </w:t>
            </w:r>
            <w:r>
              <w:rPr>
                <w:rFonts w:ascii="Calibri" w:cs="Calibri" w:eastAsia="Calibri" w:hAnsi="Calibri"/>
                <w:color w:val="141414"/>
                <w:sz w:val="19"/>
                <w:szCs w:val="19"/>
              </w:rPr>
              <w:t xml:space="preserve">на виробництво, з можливістю зв’язатись з автором для доопрацювання</w:t>
            </w:r>
          </w:p>
        </w:tc>
      </w:tr>
      <w:tr>
        <w:tc>
          <w:tcPr>
            <w:tcW w:type="dxa" w:w="7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8A6B"/>
                <w:sz w:val="22"/>
                <w:szCs w:val="22"/>
              </w:rPr>
              <w:t xml:space="preserve">6</w:t>
            </w:r>
          </w:p>
        </w:tc>
        <w:tc>
          <w:tcPr>
            <w:tcW w:type="dxa" w:w="89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9"/>
                <w:szCs w:val="19"/>
              </w:rPr>
              <w:t xml:space="preserve">Ігор консультує — </w:t>
            </w:r>
            <w:r>
              <w:rPr>
                <w:rFonts w:ascii="Calibri" w:cs="Calibri" w:eastAsia="Calibri" w:hAnsi="Calibri"/>
                <w:color w:val="141414"/>
                <w:sz w:val="19"/>
                <w:szCs w:val="19"/>
              </w:rPr>
              <w:t xml:space="preserve">за додаткову домовленість поза базовою угодою — перший крок до довшої співпраці з виробником</w:t>
            </w:r>
          </w:p>
        </w:tc>
      </w:tr>
    </w:tbl>
    <w:p>
      <w:r>
        <w:br w:type="pag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5C5C58"/>
          <w:spacing w:val="20"/>
          <w:sz w:val="15"/>
          <w:szCs w:val="15"/>
        </w:rPr>
        <w:t xml:space="preserve">АВТОР 5 З 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B3791E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6"/>
                <w:sz w:val="15"/>
                <w:szCs w:val="15"/>
              </w:rPr>
              <w:t xml:space="preserve">ЦИФРОВЕ МИСТЕЦТВО / 3D / АНІМАЦІЯ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27"/>
                <w:szCs w:val="27"/>
              </w:rPr>
              <w:t xml:space="preserve">Тимур Бондаренко, 20 років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F0EFEA"/>
                <w:sz w:val="18"/>
                <w:szCs w:val="18"/>
              </w:rPr>
              <w:t xml:space="preserve">2 курс школи гейм-дизайну (не класичний університет)</w:t>
            </w:r>
          </w:p>
        </w:tc>
      </w:tr>
    </w:tbl>
    <w:p>
      <w:pPr>
        <w:spacing w:before="200"/>
      </w:pP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color w:val="141414"/>
          <w:sz w:val="20"/>
          <w:szCs w:val="20"/>
        </w:rPr>
        <w:t xml:space="preserve">Ситуація: </w:t>
      </w:r>
      <w:r>
        <w:rPr>
          <w:rFonts w:ascii="Calibri" w:cs="Calibri" w:eastAsia="Calibri" w:hAnsi="Calibri"/>
          <w:color w:val="141414"/>
          <w:sz w:val="20"/>
          <w:szCs w:val="20"/>
        </w:rPr>
        <w:t xml:space="preserve">Зробив rigged 3D-модель фентезійного персонажа з короткою анімацією для курсової. Викладав лише на особистому акаунті в спеціалізованій мережі, де загубився серед мільйонів робіт.</w:t>
      </w: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color w:val="141414"/>
          <w:sz w:val="20"/>
          <w:szCs w:val="20"/>
        </w:rPr>
        <w:t xml:space="preserve">Мотивація: </w:t>
      </w:r>
      <w:r>
        <w:rPr>
          <w:rFonts w:ascii="Calibri" w:cs="Calibri" w:eastAsia="Calibri" w:hAnsi="Calibri"/>
          <w:color w:val="141414"/>
          <w:sz w:val="20"/>
          <w:szCs w:val="20"/>
        </w:rPr>
        <w:t xml:space="preserve">Ранній дохід і видимість у вузькій індустрії геймдеву — задовго до випуску, не після нього.</w:t>
      </w:r>
    </w:p>
    <w:p>
      <w:pPr>
        <w:pBdr>
          <w:left w:val="single" w:color="B3791E" w:sz="18" w:space="10"/>
        </w:pBdr>
        <w:spacing w:after="160" w:before="140"/>
      </w:pPr>
      <w:r>
        <w:rPr>
          <w:rFonts w:ascii="Calibri" w:cs="Calibri" w:eastAsia="Calibri" w:hAnsi="Calibri"/>
          <w:b/>
          <w:bCs/>
          <w:i/>
          <w:iCs/>
          <w:color w:val="2B2B2B"/>
          <w:sz w:val="21"/>
          <w:szCs w:val="21"/>
        </w:rPr>
        <w:t xml:space="preserve">«На своєму акаунті мене ніхто не бачить. Тут хоча б є фільтр саме на те, що я вмію робити.»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791E"/>
                <w:sz w:val="22"/>
                <w:szCs w:val="22"/>
              </w:rPr>
              <w:t xml:space="preserve">1</w:t>
            </w:r>
          </w:p>
        </w:tc>
        <w:tc>
          <w:tcPr>
            <w:tcW w:type="dxa" w:w="89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9"/>
                <w:szCs w:val="19"/>
              </w:rPr>
              <w:t xml:space="preserve">Дізнається — </w:t>
            </w:r>
            <w:r>
              <w:rPr>
                <w:rFonts w:ascii="Calibri" w:cs="Calibri" w:eastAsia="Calibri" w:hAnsi="Calibri"/>
                <w:color w:val="141414"/>
                <w:sz w:val="19"/>
                <w:szCs w:val="19"/>
              </w:rPr>
              <w:t xml:space="preserve">не через виш — через спеціалізовану Discord-спільноту гейм-розробників; це зовсім інший канал, ніж в архітектора</w:t>
            </w:r>
          </w:p>
        </w:tc>
      </w:tr>
      <w:tr>
        <w:tc>
          <w:tcPr>
            <w:tcW w:type="dxa" w:w="7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791E"/>
                <w:sz w:val="22"/>
                <w:szCs w:val="22"/>
              </w:rPr>
              <w:t xml:space="preserve">2</w:t>
            </w:r>
          </w:p>
        </w:tc>
        <w:tc>
          <w:tcPr>
            <w:tcW w:type="dxa" w:w="89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9"/>
                <w:szCs w:val="19"/>
              </w:rPr>
              <w:t xml:space="preserve">Реєструється — </w:t>
            </w:r>
            <w:r>
              <w:rPr>
                <w:rFonts w:ascii="Calibri" w:cs="Calibri" w:eastAsia="Calibri" w:hAnsi="Calibri"/>
                <w:color w:val="141414"/>
                <w:sz w:val="19"/>
                <w:szCs w:val="19"/>
              </w:rPr>
              <w:t xml:space="preserve">вказує «школа гейм-дизайну» замість класичного університету — підтверджує, що поле «навчальний заклад» має бути гнучким, не лише для університетів</w:t>
            </w:r>
          </w:p>
        </w:tc>
      </w:tr>
      <w:tr>
        <w:tc>
          <w:tcPr>
            <w:tcW w:type="dxa" w:w="7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791E"/>
                <w:sz w:val="22"/>
                <w:szCs w:val="22"/>
              </w:rPr>
              <w:t xml:space="preserve">3</w:t>
            </w:r>
          </w:p>
        </w:tc>
        <w:tc>
          <w:tcPr>
            <w:tcW w:type="dxa" w:w="89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9"/>
                <w:szCs w:val="19"/>
              </w:rPr>
              <w:t xml:space="preserve">Завантажує роботу — </w:t>
            </w:r>
            <w:r>
              <w:rPr>
                <w:rFonts w:ascii="Calibri" w:cs="Calibri" w:eastAsia="Calibri" w:hAnsi="Calibri"/>
                <w:color w:val="141414"/>
                <w:sz w:val="19"/>
                <w:szCs w:val="19"/>
              </w:rPr>
              <w:t xml:space="preserve">вертикаль «Цифрове мистецтво/3D/Анімація»; тип (rigged character + анімація), софт (Blender), поліконт, формат файлу, ліцензія (game-ready)</w:t>
            </w:r>
          </w:p>
        </w:tc>
      </w:tr>
      <w:tr>
        <w:tc>
          <w:tcPr>
            <w:tcW w:type="dxa" w:w="7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791E"/>
                <w:sz w:val="22"/>
                <w:szCs w:val="22"/>
              </w:rPr>
              <w:t xml:space="preserve">4</w:t>
            </w:r>
          </w:p>
        </w:tc>
        <w:tc>
          <w:tcPr>
            <w:tcW w:type="dxa" w:w="89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9"/>
                <w:szCs w:val="19"/>
              </w:rPr>
              <w:t xml:space="preserve">Встановлює ціну — </w:t>
            </w:r>
            <w:r>
              <w:rPr>
                <w:rFonts w:ascii="Calibri" w:cs="Calibri" w:eastAsia="Calibri" w:hAnsi="Calibri"/>
                <w:color w:val="141414"/>
                <w:sz w:val="19"/>
                <w:szCs w:val="19"/>
              </w:rPr>
              <w:t xml:space="preserve">вища, ніж середня картина — game-ready 3D-моделі мають вищу ринкову вартість за замовчуванням</w:t>
            </w:r>
          </w:p>
        </w:tc>
      </w:tr>
      <w:tr>
        <w:tc>
          <w:tcPr>
            <w:tcW w:type="dxa" w:w="7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791E"/>
                <w:sz w:val="22"/>
                <w:szCs w:val="22"/>
              </w:rPr>
              <w:t xml:space="preserve">5</w:t>
            </w:r>
          </w:p>
        </w:tc>
        <w:tc>
          <w:tcPr>
            <w:tcW w:type="dxa" w:w="89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9"/>
                <w:szCs w:val="19"/>
              </w:rPr>
              <w:t xml:space="preserve">Покупець — інді-студія — </w:t>
            </w:r>
            <w:r>
              <w:rPr>
                <w:rFonts w:ascii="Calibri" w:cs="Calibri" w:eastAsia="Calibri" w:hAnsi="Calibri"/>
                <w:color w:val="141414"/>
                <w:sz w:val="19"/>
                <w:szCs w:val="19"/>
              </w:rPr>
              <w:t xml:space="preserve">команда з 4 людей шукає готового rigged-персонажа для прототипу гри замість замовлення з нуля</w:t>
            </w:r>
          </w:p>
        </w:tc>
      </w:tr>
      <w:tr>
        <w:tc>
          <w:tcPr>
            <w:tcW w:type="dxa" w:w="7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791E"/>
                <w:sz w:val="22"/>
                <w:szCs w:val="22"/>
              </w:rPr>
              <w:t xml:space="preserve">6</w:t>
            </w:r>
          </w:p>
        </w:tc>
        <w:tc>
          <w:tcPr>
            <w:tcW w:type="dxa" w:w="89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9"/>
                <w:szCs w:val="19"/>
              </w:rPr>
              <w:t xml:space="preserve">Продає ліцензію — </w:t>
            </w:r>
            <w:r>
              <w:rPr>
                <w:rFonts w:ascii="Calibri" w:cs="Calibri" w:eastAsia="Calibri" w:hAnsi="Calibri"/>
                <w:color w:val="141414"/>
                <w:sz w:val="19"/>
                <w:szCs w:val="19"/>
              </w:rPr>
              <w:t xml:space="preserve">отримує перший дохід ще на 2 курсі — задовго до випуску, на відміну від усіх інших персон</w:t>
            </w:r>
          </w:p>
        </w:tc>
      </w:tr>
    </w:tbl>
    <w:p>
      <w:r>
        <w:br w:type="pag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5C5C58"/>
          <w:spacing w:val="20"/>
          <w:sz w:val="15"/>
          <w:szCs w:val="15"/>
        </w:rPr>
        <w:t xml:space="preserve">ПОКУПЕЦЬ 1 З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3A3A3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6"/>
                <w:sz w:val="15"/>
                <w:szCs w:val="15"/>
              </w:rPr>
              <w:t xml:space="preserve">ПОКУПЕЦЬ · АРХІТЕКТУРА / ДИЗАЙН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27"/>
                <w:szCs w:val="27"/>
              </w:rPr>
              <w:t xml:space="preserve">Марек, керівник проєктів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F0EFEA"/>
                <w:sz w:val="18"/>
                <w:szCs w:val="18"/>
              </w:rPr>
              <w:t xml:space="preserve">девелоперська компанія, Польща</w:t>
            </w:r>
          </w:p>
        </w:tc>
      </w:tr>
    </w:tbl>
    <w:p>
      <w:pPr>
        <w:spacing w:before="200"/>
      </w:pP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color w:val="141414"/>
          <w:sz w:val="20"/>
          <w:szCs w:val="20"/>
        </w:rPr>
        <w:t xml:space="preserve">Потреба: </w:t>
      </w:r>
      <w:r>
        <w:rPr>
          <w:rFonts w:ascii="Calibri" w:cs="Calibri" w:eastAsia="Calibri" w:hAnsi="Calibri"/>
          <w:color w:val="141414"/>
          <w:sz w:val="20"/>
          <w:szCs w:val="20"/>
        </w:rPr>
        <w:t xml:space="preserve">Потрібен концепт студентського містечка в Ґданську — швидко і дешевше за повне замовлення в архбюро з нуля.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2"/>
                <w:szCs w:val="22"/>
              </w:rPr>
              <w:t xml:space="preserve">1</w:t>
            </w:r>
          </w:p>
        </w:tc>
        <w:tc>
          <w:tcPr>
            <w:tcW w:type="dxa" w:w="89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9"/>
                <w:szCs w:val="19"/>
              </w:rPr>
              <w:t xml:space="preserve">Формулює потребу — </w:t>
            </w:r>
            <w:r>
              <w:rPr>
                <w:rFonts w:ascii="Calibri" w:cs="Calibri" w:eastAsia="Calibri" w:hAnsi="Calibri"/>
                <w:color w:val="141414"/>
                <w:sz w:val="19"/>
                <w:szCs w:val="19"/>
              </w:rPr>
              <w:t xml:space="preserve">житло, 5000–8000 м², Європа, sustainable, бюджет обмежений</w:t>
            </w:r>
          </w:p>
        </w:tc>
      </w:tr>
      <w:tr>
        <w:tc>
          <w:tcPr>
            <w:tcW w:type="dxa" w:w="7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2"/>
                <w:szCs w:val="22"/>
              </w:rPr>
              <w:t xml:space="preserve">2</w:t>
            </w:r>
          </w:p>
        </w:tc>
        <w:tc>
          <w:tcPr>
            <w:tcW w:type="dxa" w:w="89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9"/>
                <w:szCs w:val="19"/>
              </w:rPr>
              <w:t xml:space="preserve">Шукає за Project DNA — </w:t>
            </w:r>
            <w:r>
              <w:rPr>
                <w:rFonts w:ascii="Calibri" w:cs="Calibri" w:eastAsia="Calibri" w:hAnsi="Calibri"/>
                <w:color w:val="141414"/>
                <w:sz w:val="19"/>
                <w:szCs w:val="19"/>
              </w:rPr>
              <w:t xml:space="preserve">фільтрує за типологією, масштабом, локацією — отримує короткий список, а не нескінченну стрічку</w:t>
            </w:r>
          </w:p>
        </w:tc>
      </w:tr>
      <w:tr>
        <w:tc>
          <w:tcPr>
            <w:tcW w:type="dxa" w:w="7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2"/>
                <w:szCs w:val="22"/>
              </w:rPr>
              <w:t xml:space="preserve">3</w:t>
            </w:r>
          </w:p>
        </w:tc>
        <w:tc>
          <w:tcPr>
            <w:tcW w:type="dxa" w:w="89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9"/>
                <w:szCs w:val="19"/>
              </w:rPr>
              <w:t xml:space="preserve">Знаходить проєкт Марії — </w:t>
            </w:r>
            <w:r>
              <w:rPr>
                <w:rFonts w:ascii="Calibri" w:cs="Calibri" w:eastAsia="Calibri" w:hAnsi="Calibri"/>
                <w:color w:val="141414"/>
                <w:sz w:val="19"/>
                <w:szCs w:val="19"/>
              </w:rPr>
              <w:t xml:space="preserve">структуровані дані дозволяють оцінити відповідність за хвилину, без листування</w:t>
            </w:r>
          </w:p>
        </w:tc>
      </w:tr>
      <w:tr>
        <w:tc>
          <w:tcPr>
            <w:tcW w:type="dxa" w:w="7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2"/>
                <w:szCs w:val="22"/>
              </w:rPr>
              <w:t xml:space="preserve">4</w:t>
            </w:r>
          </w:p>
        </w:tc>
        <w:tc>
          <w:tcPr>
            <w:tcW w:type="dxa" w:w="89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9"/>
                <w:szCs w:val="19"/>
              </w:rPr>
              <w:t xml:space="preserve">Контактує напряму — </w:t>
            </w:r>
            <w:r>
              <w:rPr>
                <w:rFonts w:ascii="Calibri" w:cs="Calibri" w:eastAsia="Calibri" w:hAnsi="Calibri"/>
                <w:color w:val="141414"/>
                <w:sz w:val="19"/>
                <w:szCs w:val="19"/>
              </w:rPr>
              <w:t xml:space="preserve">через платформу, без посередників</w:t>
            </w:r>
          </w:p>
        </w:tc>
      </w:tr>
      <w:tr>
        <w:tc>
          <w:tcPr>
            <w:tcW w:type="dxa" w:w="7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2"/>
                <w:szCs w:val="22"/>
              </w:rPr>
              <w:t xml:space="preserve">5</w:t>
            </w:r>
          </w:p>
        </w:tc>
        <w:tc>
          <w:tcPr>
            <w:tcW w:type="dxa" w:w="89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9"/>
                <w:szCs w:val="19"/>
              </w:rPr>
              <w:t xml:space="preserve">Купує ліцензію — </w:t>
            </w:r>
            <w:r>
              <w:rPr>
                <w:rFonts w:ascii="Calibri" w:cs="Calibri" w:eastAsia="Calibri" w:hAnsi="Calibri"/>
                <w:color w:val="141414"/>
                <w:sz w:val="19"/>
                <w:szCs w:val="19"/>
              </w:rPr>
              <w:t xml:space="preserve">на розвиток концепту; за потреби додатково наймає Марію для доопрацювання</w:t>
            </w:r>
          </w:p>
        </w:tc>
      </w:tr>
      <w:tr>
        <w:tc>
          <w:tcPr>
            <w:tcW w:type="dxa" w:w="7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2"/>
                <w:szCs w:val="22"/>
              </w:rPr>
              <w:t xml:space="preserve">6</w:t>
            </w:r>
          </w:p>
        </w:tc>
        <w:tc>
          <w:tcPr>
            <w:tcW w:type="dxa" w:w="89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9"/>
                <w:szCs w:val="19"/>
              </w:rPr>
              <w:t xml:space="preserve">Результат — «Built» — </w:t>
            </w:r>
            <w:r>
              <w:rPr>
                <w:rFonts w:ascii="Calibri" w:cs="Calibri" w:eastAsia="Calibri" w:hAnsi="Calibri"/>
                <w:color w:val="141414"/>
                <w:sz w:val="19"/>
                <w:szCs w:val="19"/>
              </w:rPr>
              <w:t xml:space="preserve">концепт стає основою реального проєкту; статус на платформі оновлюється</w:t>
            </w:r>
          </w:p>
        </w:tc>
      </w:tr>
    </w:tbl>
    <w:p>
      <w:r>
        <w:br w:type="pag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5C5C58"/>
          <w:spacing w:val="20"/>
          <w:sz w:val="15"/>
          <w:szCs w:val="15"/>
        </w:rPr>
        <w:t xml:space="preserve">ПОКУПЕЦЬ 2 З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3A3A3A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6"/>
                <w:sz w:val="15"/>
                <w:szCs w:val="15"/>
              </w:rPr>
              <w:t xml:space="preserve">ПОКУПЕЦЬ · 3D / ГРА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27"/>
                <w:szCs w:val="27"/>
              </w:rPr>
              <w:t xml:space="preserve">Інді-студія (4 особи)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F0EFEA"/>
                <w:sz w:val="18"/>
                <w:szCs w:val="18"/>
              </w:rPr>
              <w:t xml:space="preserve">розробка мобільної гри, обмежений бюджет</w:t>
            </w:r>
          </w:p>
        </w:tc>
      </w:tr>
    </w:tbl>
    <w:p>
      <w:pPr>
        <w:spacing w:before="200"/>
      </w:pP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color w:val="141414"/>
          <w:sz w:val="20"/>
          <w:szCs w:val="20"/>
        </w:rPr>
        <w:t xml:space="preserve">Потреба: </w:t>
      </w:r>
      <w:r>
        <w:rPr>
          <w:rFonts w:ascii="Calibri" w:cs="Calibri" w:eastAsia="Calibri" w:hAnsi="Calibri"/>
          <w:color w:val="141414"/>
          <w:sz w:val="20"/>
          <w:szCs w:val="20"/>
        </w:rPr>
        <w:t xml:space="preserve">Готовий rigged персонаж для прототипу гри — команда занадто мала, щоб тримати штатного 3D-художника, і не має часу на пошук фрилансера з нуля.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2"/>
                <w:szCs w:val="22"/>
              </w:rPr>
              <w:t xml:space="preserve">1</w:t>
            </w:r>
          </w:p>
        </w:tc>
        <w:tc>
          <w:tcPr>
            <w:tcW w:type="dxa" w:w="89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9"/>
                <w:szCs w:val="19"/>
              </w:rPr>
              <w:t xml:space="preserve">Формулює потребу — </w:t>
            </w:r>
            <w:r>
              <w:rPr>
                <w:rFonts w:ascii="Calibri" w:cs="Calibri" w:eastAsia="Calibri" w:hAnsi="Calibri"/>
                <w:color w:val="141414"/>
                <w:sz w:val="19"/>
                <w:szCs w:val="19"/>
              </w:rPr>
              <w:t xml:space="preserve">rigged character, формат сумісний з Unity, обмежений поліконт для мобільної гри</w:t>
            </w:r>
          </w:p>
        </w:tc>
      </w:tr>
      <w:tr>
        <w:tc>
          <w:tcPr>
            <w:tcW w:type="dxa" w:w="7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2"/>
                <w:szCs w:val="22"/>
              </w:rPr>
              <w:t xml:space="preserve">2</w:t>
            </w:r>
          </w:p>
        </w:tc>
        <w:tc>
          <w:tcPr>
            <w:tcW w:type="dxa" w:w="89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9"/>
                <w:szCs w:val="19"/>
              </w:rPr>
              <w:t xml:space="preserve">Шукає за фільтрами — </w:t>
            </w:r>
            <w:r>
              <w:rPr>
                <w:rFonts w:ascii="Calibri" w:cs="Calibri" w:eastAsia="Calibri" w:hAnsi="Calibri"/>
                <w:color w:val="141414"/>
                <w:sz w:val="19"/>
                <w:szCs w:val="19"/>
              </w:rPr>
              <w:t xml:space="preserve">формат файлу, поліконт, тип ліцензії (game-ready) — специфічні поля вертикалі «3D/Анімація»</w:t>
            </w:r>
          </w:p>
        </w:tc>
      </w:tr>
      <w:tr>
        <w:tc>
          <w:tcPr>
            <w:tcW w:type="dxa" w:w="7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2"/>
                <w:szCs w:val="22"/>
              </w:rPr>
              <w:t xml:space="preserve">3</w:t>
            </w:r>
          </w:p>
        </w:tc>
        <w:tc>
          <w:tcPr>
            <w:tcW w:type="dxa" w:w="89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9"/>
                <w:szCs w:val="19"/>
              </w:rPr>
              <w:t xml:space="preserve">Знаходить роботу Тимура — </w:t>
            </w:r>
            <w:r>
              <w:rPr>
                <w:rFonts w:ascii="Calibri" w:cs="Calibri" w:eastAsia="Calibri" w:hAnsi="Calibri"/>
                <w:color w:val="141414"/>
                <w:sz w:val="19"/>
                <w:szCs w:val="19"/>
              </w:rPr>
              <w:t xml:space="preserve">відповідає технічним вимогам прототипу</w:t>
            </w:r>
          </w:p>
        </w:tc>
      </w:tr>
      <w:tr>
        <w:tc>
          <w:tcPr>
            <w:tcW w:type="dxa" w:w="7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2"/>
                <w:szCs w:val="22"/>
              </w:rPr>
              <w:t xml:space="preserve">4</w:t>
            </w:r>
          </w:p>
        </w:tc>
        <w:tc>
          <w:tcPr>
            <w:tcW w:type="dxa" w:w="89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9"/>
                <w:szCs w:val="19"/>
              </w:rPr>
              <w:t xml:space="preserve">Купує ліцензію — </w:t>
            </w:r>
            <w:r>
              <w:rPr>
                <w:rFonts w:ascii="Calibri" w:cs="Calibri" w:eastAsia="Calibri" w:hAnsi="Calibri"/>
                <w:color w:val="141414"/>
                <w:sz w:val="19"/>
                <w:szCs w:val="19"/>
              </w:rPr>
              <w:t xml:space="preserve">дешевше й швидше, ніж замовлення з нуля</w:t>
            </w:r>
          </w:p>
        </w:tc>
      </w:tr>
      <w:tr>
        <w:tc>
          <w:tcPr>
            <w:tcW w:type="dxa" w:w="7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7F7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22"/>
                <w:szCs w:val="22"/>
              </w:rPr>
              <w:t xml:space="preserve">5</w:t>
            </w:r>
          </w:p>
        </w:tc>
        <w:tc>
          <w:tcPr>
            <w:tcW w:type="dxa" w:w="89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9"/>
                <w:szCs w:val="19"/>
              </w:rPr>
              <w:t xml:space="preserve">Використовує в прототипі — </w:t>
            </w:r>
            <w:r>
              <w:rPr>
                <w:rFonts w:ascii="Calibri" w:cs="Calibri" w:eastAsia="Calibri" w:hAnsi="Calibri"/>
                <w:color w:val="141414"/>
                <w:sz w:val="19"/>
                <w:szCs w:val="19"/>
              </w:rPr>
              <w:t xml:space="preserve">якщо гра розвивається далі — повертається по додаткові роботи того ж автора</w:t>
            </w:r>
          </w:p>
        </w:tc>
      </w:tr>
    </w:tbl>
    <w:p>
      <w:r>
        <w:br w:type="page"/>
      </w:r>
    </w:p>
    <w:p>
      <w:pPr>
        <w:spacing w:after="180" w:before="420"/>
      </w:pPr>
      <w:r>
        <w:rPr>
          <w:rFonts w:ascii="Calibri" w:cs="Calibri" w:eastAsia="Calibri" w:hAnsi="Calibri"/>
          <w:b/>
          <w:bCs/>
          <w:color w:val="141414"/>
          <w:sz w:val="30"/>
          <w:szCs w:val="30"/>
        </w:rPr>
        <w:t xml:space="preserve">Що ці шляхи підтверджують — і що ставлять під питання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c>
          <w:tcPr>
            <w:tcW w:type="dxa" w:w="48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DCE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8"/>
                <w:szCs w:val="18"/>
              </w:rPr>
              <w:t xml:space="preserve">Підтверджує</w:t>
            </w:r>
          </w:p>
        </w:tc>
        <w:tc>
          <w:tcPr>
            <w:tcW w:type="dxa" w:w="48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DCE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8"/>
                <w:szCs w:val="18"/>
              </w:rPr>
              <w:t xml:space="preserve">Ставить під питання</w:t>
            </w:r>
          </w:p>
        </w:tc>
      </w:tr>
      <w:tr>
        <w:tc>
          <w:tcPr>
            <w:tcW w:type="dxa" w:w="48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Мотивація по вертикалях справді різна — гроші (Тимур), видимість (Марія), стабільний канал (Олексій), громадська позиція (Дарина). Це виправдовує соціальний шар (лайки/підписки) як рівноцінний маркетплейсу, а не декоративний додаток.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Стаття як окремий канал залучення покупця (Дарина) — не просто контент-функція, а реальний робочий механізм генерації угод.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Бінарний перемикач «ціна / лише портфоліо» достатній — жоден з пʼяти авторів не потребував багаторівневого ліцензування.</w:t>
            </w:r>
          </w:p>
        </w:tc>
        <w:tc>
          <w:tcPr>
            <w:tcW w:type="dxa" w:w="48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Канал залучення для 3D/анімації дійсно інший — не університетська мережа, а Discord-спільноти. Раніше позначене як відкрите питання; Тимур робить його предметним і невідкладним.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Поле «навчальний заклад» при реєстрації має приймати не лише класичні університети (школи гейм-дизайну, приватні студії, курси) — інакше Тимур не зможе коректно зареєструватися.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Доставка фізичних обʼєктів (скульптура Дарини) відбувається повністю поза платформою — відкрите питання, чи потрібні базові правила для цього, чи лишити повністю на розсуд сторін.</w:t>
            </w:r>
          </w:p>
        </w:tc>
      </w:tr>
    </w:tbl>
    <w:p>
      <w:pPr>
        <w:spacing w:before="400"/>
      </w:pPr>
    </w:p>
    <w:p>
      <w:pPr>
        <w:spacing w:after="200"/>
      </w:pPr>
      <w:r>
        <w:rPr>
          <w:rFonts w:ascii="Calibri" w:cs="Calibri" w:eastAsia="Calibri" w:hAnsi="Calibri"/>
          <w:i/>
          <w:iCs/>
          <w:color w:val="5C5C58"/>
          <w:sz w:val="16"/>
          <w:szCs w:val="16"/>
        </w:rPr>
        <w:t xml:space="preserve">«Хто саме» — персони та шлях користувача · Артем Глущенко · 01.09.2026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141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2026-09-01T16:59:10.609Z</dcterms:created>
  <dcterms:modified xsi:type="dcterms:W3CDTF">2026-09-01T16:59:10.624Z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