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41414"/>
          <w:sz w:val="56"/>
          <w:szCs w:val="56"/>
        </w:rPr>
        <w:t xml:space="preserve">РОЗМІР РИНКУ</w:t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color w:val="5C5C58"/>
          <w:sz w:val="24"/>
          <w:szCs w:val="24"/>
        </w:rPr>
        <w:t xml:space="preserve">Глобальний масштаб цільової аудиторії та прогноз зростання платформи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C5C58"/>
          <w:sz w:val="17"/>
          <w:szCs w:val="17"/>
        </w:rPr>
        <w:t xml:space="preserve">Архітектура · Образотворче мистецтво · Скульптура · Дизайн · Цифрове мистецтво/3D/Анімація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Ініціатор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Артем Глущенко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Тип документа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Дослідження ринку — TAM/SAM та прогноз зростання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Дата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01.09.2026</w:t>
            </w:r>
          </w:p>
        </w:tc>
      </w:tr>
    </w:tbl>
    <w:p>
      <w:r>
        <w:br w:type="page"/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Методологія та застереження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Єдиного офіційного джерела «кількість студентів архітектури/мистецтва/дизайну/3D у світі» не існує — жодна міжнародна організація не веде такий облік у розрізі саме цих п’яти дисциплін. Тому оцінка нижче побудована комбіновано: (а) перевірені знизу вгору дані по окремих країнах і закладах, (б) перевірені згори вниз дані про загальну вищу освіту у світі (UNESCO), (в) логічна екстраполяція між ними.</w:t>
      </w:r>
    </w:p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Усі підсумкові цифри — оцінки з діапазоном, а не точні значення. Там, де точність недосяжна, це вказано прямо, а не приховано за фальшиво точним числом.</w:t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Глобальний контекст вищої освіти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269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студентів вищої освіти у світі, 2024 (UNESCO)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43%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охоплення вищою освітою населення відповідного віку у світі</w:t>
            </w:r>
          </w:p>
        </w:tc>
        <w:tc>
          <w:tcPr>
            <w:tcW w:type="dxa" w:w="3214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7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студентів навчаються за кордоном (міжнародна мобільність)</w:t>
            </w:r>
          </w:p>
        </w:tc>
      </w:tr>
    </w:tbl>
    <w:p>
      <w:pPr>
        <w:spacing w:before="2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Це база для порівняння: будь-яка оцінка нижче має «пройти перевірку здоровим глуздом» відносно цієї загальної цифри 269 млн.</w:t>
      </w:r>
    </w:p>
    <w:p>
      <w:r>
        <w:br w:type="page"/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Оцінка по категоріях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1. Архітектура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США: ~140 закладів з акредитацією NAAB, 176 акредитованих програм; історично стабільно ~6 000 дипломів/рік, ~28 000 студентів в акредитованих програмах (NAAB, 2023–24)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Китай: 200+ університетів з дослідницьким профілем в архітектурі за даними Edurank; лише Tsinghua — 35 369 студентів на факультеті архітектури й суміжних напрямів; галузь зростає з 1980-х після реформ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Глобальний каталог провідних шкіл архітектури: 268+ закладів у 72 країнах (ArchStudent) — це занижена оцінка, бо каталогізує лише «провідні», не всі заклади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41414"/>
          <w:sz w:val="21"/>
          <w:szCs w:val="21"/>
        </w:rPr>
        <w:t xml:space="preserve">Оцінка: глобально приблизно 350 000–550 000 студентів архітектури одночасно (усі курси разом), 70 000–110 000 нових випускників на рік.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2–3. Образотворче мистецтво і скульптура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Китай — ключовий і документально підтверджений факт: Міністерство освіти КНР очікувало ~1,15–1,2 млн заявників на творчі спеціальності (образотворче мистецтво, дизайн, музика, акторська майстерність) через єдиний вступний іспит (гаокао) в один рік; образотворче мистецтво і дизайн разом становлять орієнтовно 60–70% цієї когорти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Конкурс у провідні художні виші Китаю ілюструє масштаб знизу: Китайська академія мистецтв (Ханчжоу) отримала 45 920 заявок на 1 690 місць за один рік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Скульптура окремо майже ніде не виділяється як самостійна спеціальність — зазвичай це напрям усередині факультету образотворчого мистецтва, тому рахуємо її як частку від загальної когорти мистецьких студентів, не окремим числом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41414"/>
          <w:sz w:val="21"/>
          <w:szCs w:val="21"/>
        </w:rPr>
        <w:t xml:space="preserve">Оцінка: глобально приблизно 1,3–2,0 млн студентів образотворчого мистецтва й скульптури одночасно, 350 000–500 000 нових вступників на рік — і Китай сам формує більшість цієї цифри.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4. Дизайн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У більшості країн дизайн (графічний, промисловий, інтер’єрний) рахується разом із мистецтвом у статистиці вступу (як у випадку китайського гаокао вище) — тому цифра дизайну частково вже врахована в пункті 2–3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Cumulus — єдина глобальна асоціація саме дизайн-освіти — станом на 2026 рік обʼєднує 393 навчальні заклади у 64 країнах; за офіційною оцінкою президента асоціації (2013 р., тоді 189 членів) мережа охоплювала близько 3,1 млн студентів і майже 30 000 викладачів — тобто сьогоднішня мережа з удвічі більшою кількістю членів покриває ще ширшу аудиторію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41414"/>
          <w:sz w:val="21"/>
          <w:szCs w:val="21"/>
        </w:rPr>
        <w:t xml:space="preserve">Оцінка: дизайн частково перетинається з категорією мистецтва вище; додатково оцінюємо 300 000–450 000 студентів дизайну одночасно там, де він рахується окремо від «мистецтва» (США, Європа, Індія), не враховуючи тих, хто вже поглинутий оцінкою Cumulus.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5. Цифрове мистецтво / 3D / Анімація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Тільки в рейтингу Animation Career Review — 200+ оцінених закладів у самих лише США; світовий рейтинг The Rookies World School Rankings охоплює 489 закладів у категоріях гейм-дизайну й суміжних дисциплін — і це тільки ті, що подались на рейтингування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Реальна кількість закладів, що викладають 3D/анімацію/гейм-дизайн як частину ширших програм комп’ютерних наук чи медіа (не тільки спеціалізовані школи), у рази більша за ці рейтингові списки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41414"/>
          <w:sz w:val="21"/>
          <w:szCs w:val="21"/>
        </w:rPr>
        <w:t xml:space="preserve">Оцінка: глобально приблизно 400 000–700 000 студентів цифрового мистецтва/3D/анімації/гейм-дизайну одночасно — наймолодша і найшвидше зростаюча з п’яти категорій, оскільки дисципліна відносно нова.</w:t>
      </w:r>
    </w:p>
    <w:p>
      <w:r>
        <w:br w:type="page"/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Зведена оцінка: глобальний TAM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2,3–3,7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студентів одночасно у світі за 5 категоріями (без Росії)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550 000–820 000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нових вступників/потенційних авторів щороку (без Росії)</w:t>
            </w:r>
          </w:p>
        </w:tc>
        <w:tc>
          <w:tcPr>
            <w:tcW w:type="dxa" w:w="3214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Китай ~45–55%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частка від глобальної когорти — домінуючий, але складний ринок для старту</w:t>
            </w:r>
          </w:p>
        </w:tc>
      </w:tr>
    </w:tbl>
    <w:p>
      <w:pPr>
        <w:spacing w:before="2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Це TAM (Total Addressable Market) у найширшому сенсі — теоретично «весь світ». Реальна практична робота почнеться зі значно вужчого SAM (розділ нижче).</w:t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Росія — окремо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92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виші з архітектурними спеціальностями (Союз архітекторів РФ)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4,3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загальна кількість студентів вишів РФ, 2026 (+5% рік до року)</w:t>
            </w:r>
          </w:p>
        </w:tc>
        <w:tc>
          <w:tcPr>
            <w:tcW w:type="dxa" w:w="3214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30"/>
                <w:szCs w:val="30"/>
              </w:rPr>
              <w:t xml:space="preserve">~90 000–130 000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орієнтовна оцінка студентів 5 категорій одночасно в РФ</w:t>
            </w:r>
          </w:p>
        </w:tc>
      </w:tr>
    </w:tbl>
    <w:p>
      <w:pPr>
        <w:spacing w:before="220"/>
      </w:pPr>
    </w:p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Росія свідомо винесена окремо і не входить у практичний адресний ринок (SAM) платформи — з міркувань санкційних обмежень, платіжної інфраструктури і орієнтації бренду на європейський та глобальний ринок. Цифра наведена для повноти дослідження, не як частина плану виходу на ринок.</w:t>
      </w:r>
    </w:p>
    <w:p>
      <w:r>
        <w:br w:type="page"/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Практичний адресний ринок (SAM)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TAM показує теоретичну стелю. SAM — це та частина, яку платформа реалістично може обслуговувати на горизонті перших років, з огляду на мову інтерфейсу, канали залучення (університетські мережі) і платіжну інфраструктуру.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Фактори звуження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Мова: запуск англійською і українською звужує первинний охоплюваний сегмент, поки не додано локалізацію (особливо критично для Китаю — найбільшого сегмента TAM)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Канал залучення — інституційний (університети): швидкість виходу на нову країну обмежена кількістю налагоджених партнерств, а не рекламним бюджетом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Платіжна інфраструктура: старт реалістичний там, де є стабільний доступ до міжнародних платіжних систем</w:t>
      </w:r>
    </w:p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Реалістичний SAM на горизонті перших 3–5 років: Європа (включно з Україною), Північна Америка, і частково Індія/Південно-Східна Азія як другоряднi ринки — приблизно 600 000–1 000 000 студентів одночасно, тобто 25–35% від глобального TAM без Китаю та Росії.</w:t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Прогноз зростання і час виходу на максимум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«Максимум» для нішевого маркетплейсу з мережевим ефектом — поняття теоретичне: жодна подібна платформа не досягає 100% TAM. Реалістичний орієнтир — частка ринку, якої досягають категоризуючі гравці (ті, що визначають нішу) на зрілому етапі: як правило, 5–15% активної аудиторії свого сегмента протягом 7–10 років за умови стійкого мережевого ефекту.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Фаза</w:t>
            </w:r>
          </w:p>
        </w:tc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Горизонт</w:t>
            </w:r>
          </w:p>
        </w:tc>
        <w:tc>
          <w:tcPr>
            <w:tcW w:type="dxa" w:w="4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Що відбувається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Пілот</w:t>
            </w:r>
          </w:p>
        </w:tc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Рік 1–2</w:t>
            </w:r>
          </w:p>
        </w:tc>
        <w:tc>
          <w:tcPr>
            <w:tcW w:type="dxa" w:w="4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Україна + кілька партнерських країн через прямі університетські контакти; тисячі, не мільйони користувачів; перевірка попиту й механіки продажу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Регіональне зростання</w:t>
            </w:r>
          </w:p>
        </w:tc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Рік 3–5</w:t>
            </w:r>
          </w:p>
        </w:tc>
        <w:tc>
          <w:tcPr>
            <w:tcW w:type="dxa" w:w="4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Європа як основний ринок; десятки тисяч → перші сотні тисяч користувачів; активація мережевого ефекту (більше авторів приваблює більше покупців)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Міжнародне масштабування</w:t>
            </w:r>
          </w:p>
        </w:tc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Рік 5–10</w:t>
            </w:r>
          </w:p>
        </w:tc>
        <w:tc>
          <w:tcPr>
            <w:tcW w:type="dxa" w:w="4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Північна Америка, Індія, Південно-Східна Азія; питання виходу в Китай постає окремо — вимагає локальної адаптації і партнерств, не органічного зростання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Зрілість / «максимум»</w:t>
            </w:r>
          </w:p>
        </w:tc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10+ років</w:t>
            </w:r>
          </w:p>
        </w:tc>
        <w:tc>
          <w:tcPr>
            <w:tcW w:type="dxa" w:w="4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Реалістична стеля — 5–15% активного SAM (без Китаю), тобто орієнтовно 30 000–150 000 активних платних транзакцій на рік у сталому стані; вихід у Китай, якщо відбудеться, змінює порядок величини кардинально</w:t>
            </w:r>
          </w:p>
        </w:tc>
      </w:tr>
    </w:tbl>
    <w:p>
      <w:pPr>
        <w:spacing w:before="220"/>
      </w:pPr>
    </w:p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Головний висновок: «вийти на максимум» — це не подія, а горизонт 8–10+ років навіть за оптимістичного сценарію, і переважна більшість цього шляху визначається не продуктом, а швидкістю укладання інституційних партнерств з університетами, по одному ринку за раз.</w:t>
      </w:r>
    </w:p>
    <w:p>
      <w:pPr>
        <w:spacing w:before="4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6"/>
          <w:szCs w:val="16"/>
        </w:rPr>
        <w:t xml:space="preserve">«Розмір ринку» — дослідницький документ · Артем Глущенко · 01.09.2026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2026-09-01T16:37:41.611Z</dcterms:created>
  <dcterms:modified xsi:type="dcterms:W3CDTF">2026-09-01T16:37:41.623Z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