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spacing w:after="240"/>
        <w:ind w:firstLine="0"/>
      </w:pPr>
      <w:r>
        <w:t>基于集成学习与条件Copula的啤酒风味预测及受约束风格迁移</w:t>
      </w:r>
    </w:p>
    <w:p>
      <w:pPr>
        <w:pStyle w:val="Heading2"/>
        <w:jc w:val="center"/>
      </w:pPr>
      <w:r>
        <w:t>摘 要</w:t>
      </w:r>
    </w:p>
    <w:p>
      <w:r>
        <w:t>针对啤酒化学测量存在缺失、成分相关性强及部分风格样本较少的问题，研究感官预测、关键化合物分析和风格迁移。按啤酒编号核对附件后，采用250款啤酒、45项感官属性；第一、二问使用231维化学输入，第三问使用69项校准量与157项相对量。现有感官标签为标准化连续值，无法从附件恢复原始0—6评分，故在给定尺度上建模和评价。</w:t>
      </w:r>
    </w:p>
    <w:p>
      <w:r>
        <w:t>第一问采用训练折中位数补值、缺失指示与多输出ExtraTrees，五折折外MAE为0.3409、RMSE为0.4862、宏平均R²为0.2146，RMSE较均值基线降低15.36%；额外随机隐藏20%测试特征后，RMSE增加2.67%。第二问复核附件相关矩阵后采用Spearman相关，在绝对相关阈值0.7下得到231个节点、109条边，并为45项感官属性选出135个Top-3关联位置。200次Bootstrap中仅14个位置的入选频率达到0.8，去风格均值后21项感官的Top-3完全变化。</w:t>
      </w:r>
    </w:p>
    <w:p>
      <w:r>
        <w:t>第三问比较收缩Copula、局部边缘Copula和平滑混合，通过嵌套验证选择生成方法。Kriek、Lambic的能量差异较基准分别降低20.5%、23.4%，Tripel略有变差；三种目标风格共生成900条化学谱并预测感官画像。Pils/Lager向Tripel迁移时，同时限制四项缺陷浓度和Stale hops预测增量。固定树、中央候选池的余量优先方案有10/11款通过模型检查，所选谱目标距离缩短中位数为57.74%；几何优先的探索性方案为70.08%。由于Stale hops跨风格预测仍弱，上述结果有待新样本检测和盲品验证。</w:t>
      </w:r>
    </w:p>
    <w:p>
      <w:pPr>
        <w:ind w:firstLine="0"/>
        <w:sectPr>
          <w:footerReference r:id="rId3" w:type="default"/>
          <w:pgSz w:w="11906" w:h="16838"/>
          <w:pgMar w:top="1134" w:right="1418" w:bottom="1134" w:left="1418" w:header="851" w:footer="992" w:gutter="0"/>
          <w:cols w:space="720" w:num="1"/>
        </w:sectPr>
      </w:pPr>
      <w:r>
        <w:t>关键词：啤酒风味；多输出预测；关联网络；条件Copula；受约束迁移</w:t>
      </w:r>
    </w:p>
    <w:p>
      <w:pPr>
        <w:pStyle w:val="Title"/>
        <w:spacing w:after="300"/>
      </w:pPr>
      <w:r>
        <w:t>目 录</w:t>
      </w:r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0">
        <w:r>
          <w:t>1 问题重述</w:t>
        </w:r>
      </w:hyperlink>
      <w:r>
        <w:tab/>
      </w:r>
      <w:fldSimple w:instr="PAGEREF sec_0 \h">
        <w:r>
          <w:t>1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4">
        <w:r>
          <w:t>2 数据核验与统一处理</w:t>
        </w:r>
      </w:hyperlink>
      <w:r>
        <w:tab/>
      </w:r>
      <w:fldSimple w:instr="PAGEREF sec_4 \h">
        <w:r>
          <w:t>1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16">
        <w:r>
          <w:t>3 问题分析与技术路线</w:t>
        </w:r>
      </w:hyperlink>
      <w:r>
        <w:tab/>
      </w:r>
      <w:fldSimple w:instr="PAGEREF sec_16 \h">
        <w:r>
          <w:t>2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1">
        <w:r>
          <w:t>4 模型假设与符号</w:t>
        </w:r>
      </w:hyperlink>
      <w:r>
        <w:tab/>
      </w:r>
      <w:fldSimple w:instr="PAGEREF sec_21 \h">
        <w:r>
          <w:t>3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9">
        <w:r>
          <w:t>5 缺失条件下的感官预测</w:t>
        </w:r>
      </w:hyperlink>
      <w:r>
        <w:tab/>
      </w:r>
      <w:fldSimple w:instr="PAGEREF sec_29 \h">
        <w:r>
          <w:t>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30">
        <w:r>
          <w:t>5.1 预测目标与评分量尺</w:t>
        </w:r>
      </w:hyperlink>
      <w:r>
        <w:tab/>
      </w:r>
      <w:fldSimple w:instr="PAGEREF sec_30 \h">
        <w:r>
          <w:t>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36">
        <w:r>
          <w:t>5.2 折内缺失处理与多输出ExtraTrees</w:t>
        </w:r>
      </w:hyperlink>
      <w:r>
        <w:tab/>
      </w:r>
      <w:fldSimple w:instr="PAGEREF sec_36 \h">
        <w:r>
          <w:t>5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46">
        <w:r>
          <w:t>5.3 折外验证与模型比较</w:t>
        </w:r>
      </w:hyperlink>
      <w:r>
        <w:tab/>
      </w:r>
      <w:fldSimple w:instr="PAGEREF sec_46 \h">
        <w:r>
          <w:t>5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53">
        <w:r>
          <w:t>5.4 缺失压力与极端外推诊断</w:t>
        </w:r>
      </w:hyperlink>
      <w:r>
        <w:tab/>
      </w:r>
      <w:fldSimple w:instr="PAGEREF sec_53 \h">
        <w:r>
          <w:t>6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59">
        <w:r>
          <w:t>5.5 逐维表现与应用边界</w:t>
        </w:r>
      </w:hyperlink>
      <w:r>
        <w:tab/>
      </w:r>
      <w:fldSimple w:instr="PAGEREF sec_59 \h">
        <w:r>
          <w:t>7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64">
        <w:r>
          <w:t>5.6 补充对照与未见风格验证</w:t>
        </w:r>
      </w:hyperlink>
      <w:r>
        <w:tab/>
      </w:r>
      <w:fldSimple w:instr="PAGEREF sec_64 \h">
        <w:r>
          <w:t>7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72">
        <w:r>
          <w:t>6 化合物关联网络与关键候选</w:t>
        </w:r>
      </w:hyperlink>
      <w:r>
        <w:tab/>
      </w:r>
      <w:fldSimple w:instr="PAGEREF sec_72 \h">
        <w:r>
          <w:t>9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74">
        <w:r>
          <w:t>6.1 Spearman关联网络</w:t>
        </w:r>
      </w:hyperlink>
      <w:r>
        <w:tab/>
      </w:r>
      <w:fldSimple w:instr="PAGEREF sec_74 \h">
        <w:r>
          <w:t>9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80">
        <w:r>
          <w:t>6.2 感官Top-3候选与重抽样稳定性</w:t>
        </w:r>
      </w:hyperlink>
      <w:r>
        <w:tab/>
      </w:r>
      <w:fldSimple w:instr="PAGEREF sec_80 \h">
        <w:r>
          <w:t>9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88">
        <w:r>
          <w:t>6.3 方法与风格敏感性</w:t>
        </w:r>
      </w:hyperlink>
      <w:r>
        <w:tab/>
      </w:r>
      <w:fldSimple w:instr="PAGEREF sec_88 \h">
        <w:r>
          <w:t>10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96">
        <w:r>
          <w:t>6.4 化学依据与解释边界</w:t>
        </w:r>
      </w:hyperlink>
      <w:r>
        <w:tab/>
      </w:r>
      <w:fldSimple w:instr="PAGEREF sec_96 \h">
        <w:r>
          <w:t>11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04">
        <w:r>
          <w:t>6.5 折外置换与预测依赖</w:t>
        </w:r>
      </w:hyperlink>
      <w:r>
        <w:tab/>
      </w:r>
      <w:fldSimple w:instr="PAGEREF sec_104 \h">
        <w:r>
          <w:t>12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114">
        <w:r>
          <w:t>7 风格条件生成与受约束迁移</w:t>
        </w:r>
      </w:hyperlink>
      <w:r>
        <w:tab/>
      </w:r>
      <w:fldSimple w:instr="PAGEREF sec_114 \h">
        <w:r>
          <w:t>14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16">
        <w:r>
          <w:t>7.1 混合化学表示与高斯秩映射</w:t>
        </w:r>
      </w:hyperlink>
      <w:r>
        <w:tab/>
      </w:r>
      <w:fldSimple w:instr="PAGEREF sec_116 \h">
        <w:r>
          <w:t>14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22">
        <w:r>
          <w:t>7.2 共享信息的条件Copula基准</w:t>
        </w:r>
      </w:hyperlink>
      <w:r>
        <w:tab/>
      </w:r>
      <w:fldSimple w:instr="PAGEREF sec_122 \h">
        <w:r>
          <w:t>14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27">
        <w:r>
          <w:t>7.3 局部边缘Copula与平滑混合</w:t>
        </w:r>
      </w:hyperlink>
      <w:r>
        <w:tab/>
      </w:r>
      <w:fldSimple w:instr="PAGEREF sec_127 \h">
        <w:r>
          <w:t>14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32">
        <w:r>
          <w:t>7.4 嵌套选择、生成质量与感官画像</w:t>
        </w:r>
      </w:hyperlink>
      <w:r>
        <w:tab/>
      </w:r>
      <w:fldSimple w:instr="PAGEREF sec_132 \h">
        <w:r>
          <w:t>15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42">
        <w:r>
          <w:t>7.5 距离、支持域与中央候选池</w:t>
        </w:r>
      </w:hyperlink>
      <w:r>
        <w:tab/>
      </w:r>
      <w:fldSimple w:instr="PAGEREF sec_142 \h">
        <w:r>
          <w:t>17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52">
        <w:r>
          <w:t>7.6 化学阈值与最低改善要求</w:t>
        </w:r>
      </w:hyperlink>
      <w:r>
        <w:tab/>
      </w:r>
      <w:fldSimple w:instr="PAGEREF sec_152 \h">
        <w:r>
          <w:t>17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64">
        <w:r>
          <w:t>7.7 Stale hops预测及beer 81误差诊断</w:t>
        </w:r>
      </w:hyperlink>
      <w:r>
        <w:tab/>
      </w:r>
      <w:fldSimple w:instr="PAGEREF sec_164 \h">
        <w:r>
          <w:t>19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68">
        <w:r>
          <w:t>7.8 配对预测筛选与留出模型复核</w:t>
        </w:r>
      </w:hyperlink>
      <w:r>
        <w:tab/>
      </w:r>
      <w:fldSimple w:instr="PAGEREF sec_168 \h">
        <w:r>
          <w:t>19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77">
        <w:r>
          <w:t>7.9 两种排序的迁移结果</w:t>
        </w:r>
      </w:hyperlink>
      <w:r>
        <w:tab/>
      </w:r>
      <w:fldSimple w:instr="PAGEREF sec_177 \h">
        <w:r>
          <w:t>20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255"/>
      </w:pPr>
      <w:r/>
      <w:hyperlink w:anchor="sec_186">
        <w:r>
          <w:t>7.10 方案选择与后续验证</w:t>
        </w:r>
      </w:hyperlink>
      <w:r>
        <w:tab/>
      </w:r>
      <w:fldSimple w:instr="PAGEREF sec_186 \h">
        <w:r>
          <w:t>21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189">
        <w:r>
          <w:t>8 结果检验与模型评价</w:t>
        </w:r>
      </w:hyperlink>
      <w:r>
        <w:tab/>
      </w:r>
      <w:fldSimple w:instr="PAGEREF sec_189 \h">
        <w:r>
          <w:t>21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02">
        <w:r>
          <w:t>9 结论与建议</w:t>
        </w:r>
      </w:hyperlink>
      <w:r>
        <w:tab/>
      </w:r>
      <w:fldSimple w:instr="PAGEREF sec_202 \h">
        <w:r>
          <w:t>22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06">
        <w:r>
          <w:t>使用声明</w:t>
        </w:r>
      </w:hyperlink>
      <w:r>
        <w:tab/>
      </w:r>
      <w:fldSimple w:instr="PAGEREF sec_206 \h">
        <w:r>
          <w:t>23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08">
        <w:r>
          <w:t>参考文献</w:t>
        </w:r>
      </w:hyperlink>
      <w:r>
        <w:tab/>
      </w:r>
      <w:fldSimple w:instr="PAGEREF sec_208 \h">
        <w:r>
          <w:t>23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21">
        <w:r>
          <w:t>附录A 感官字段及逐维精度</w:t>
        </w:r>
      </w:hyperlink>
      <w:r>
        <w:tab/>
      </w:r>
      <w:fldSimple w:instr="PAGEREF sec_221 \h">
        <w:r>
          <w:t>25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24">
        <w:r>
          <w:t>附录B 完整Top 3候选</w:t>
        </w:r>
      </w:hyperlink>
      <w:r>
        <w:tab/>
      </w:r>
      <w:fldSimple w:instr="PAGEREF sec_224 \h">
        <w:r>
          <w:t>27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33">
        <w:r>
          <w:t>附录C 逐源迁移检查</w:t>
        </w:r>
      </w:hyperlink>
      <w:r>
        <w:tab/>
      </w:r>
      <w:fldSimple w:instr="PAGEREF sec_233 \h">
        <w:r>
          <w:t>46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40">
        <w:r>
          <w:t>附录D 软件环境与运行方法</w:t>
        </w:r>
      </w:hyperlink>
      <w:r>
        <w:tab/>
      </w:r>
      <w:fldSimple w:instr="PAGEREF sec_240 \h">
        <w:r>
          <w:t>52</w:t>
        </w:r>
      </w:fldSimple>
    </w:p>
    <w:p>
      <w:pPr>
        <w:pStyle w:val="ContentsText"/>
        <w:tabs>
          <w:tab w:pos="8957" w:val="right" w:leader="dot"/>
        </w:tabs>
        <w:spacing w:line="260" w:lineRule="exact" w:after="0"/>
        <w:ind w:left="0"/>
      </w:pPr>
      <w:r/>
      <w:hyperlink w:anchor="sec_250">
        <w:r>
          <w:t>附录E 完整计算机源程序</w:t>
        </w:r>
      </w:hyperlink>
      <w:r>
        <w:tab/>
      </w:r>
      <w:fldSimple w:instr="PAGEREF sec_250 \h">
        <w:r>
          <w:t>54</w:t>
        </w:r>
      </w:fldSimple>
    </w:p>
    <w:p>
      <w:pPr>
        <w:spacing w:after="0" w:line="240" w:lineRule="auto"/>
        <w:ind w:firstLine="0"/>
        <w:sectPr>
          <w:footerReference w:type="default" r:id="rId17"/>
          <w:pgSz w:w="11906" w:h="16838"/>
          <w:pgMar w:top="1134" w:right="1418" w:bottom="1134" w:left="1418" w:header="851" w:footer="992" w:gutter="0"/>
          <w:cols w:space="720" w:num="1"/>
        </w:sectPr>
      </w:pPr>
    </w:p>
    <w:p>
      <w:bookmarkStart w:id="1000" w:name="sec_0"/>
      <w:pPr>
        <w:pStyle w:val="2"/>
      </w:pPr>
      <w:r>
        <w:t>1 问题重述</w:t>
      </w:r>
      <w:bookmarkEnd w:id="1000"/>
    </w:p>
    <w:p>
      <w:r>
        <w:t>啤酒的香气与风味由多类化合物共同形成，原料、发酵和陈化过程都会改变其组成。化学成分与感官强度并非一一对应，混合物作用及风格差异增加了预测和解释的难度。本题以原研究的商用啤酒化学测量、训练品评及相关数据[1]为基础，要求完成评分预测、关键化合物分析和风格生成。</w:t>
      </w:r>
    </w:p>
    <w:p>
      <w:r>
        <w:t>第一问保留化学测量存在缺失的样本，预测Aroma与Flavour属性。题目要求0—6评分，而实际监督标签已标准化，需先核实评分量尺。第二问利用化合物相关矩阵构建网络，为每项感官属性选择Top-3候选，并检验其稳定性和化学依据。</w:t>
      </w:r>
    </w:p>
    <w:p>
      <w:r>
        <w:t>第三问生成Tripel、Kriek和Lambic的化学谱及感官画像，再将Pils/Lager向Tripel迁移，限制DMS、Diacetyl、4VG、trans-2-nonenal和Stale hops等缺陷恶化。评价包括生成分布质量、目标风格接近度和逐款约束检查。</w:t>
      </w:r>
    </w:p>
    <w:p>
      <w:bookmarkStart w:id="1004" w:name="sec_4"/>
      <w:pPr>
        <w:pStyle w:val="2"/>
      </w:pPr>
      <w:r>
        <w:t>2 数据核验与统一处理</w:t>
      </w:r>
      <w:bookmarkEnd w:id="1004"/>
    </w:p>
    <w:p>
      <w:bookmarkStart w:id="1005" w:name="sec_5"/>
      <w:pPr>
        <w:pStyle w:val="Heading2"/>
      </w:pPr>
      <w:r>
        <w:t>2.1 样本范围与感官目标</w:t>
      </w:r>
      <w:bookmarkEnd w:id="1005"/>
    </w:p>
    <w:p>
      <w:r>
        <w:t>对附件逐表读取并按beer核对，附件1、4、7均包含250个唯一啤酒编号，覆盖22个风格。附件1除三个身份或类别字段外有231个数值特征；附件4有50项感官属性，依据附件8的名称字典，选取Aroma 15项与Taste 30项，共45项作为本题目标，排除alcohol、aftertaste、body、co2和overall。Tripel、Kriek、Lambic和Pils/Lager分别有28、10、11和11款。题面背景的226款与实际文件不一致，本文以可一一核对的250款为计算样本，不按文字数量截断。</w:t>
      </w:r>
    </w:p>
    <w:p>
      <w:pPr>
        <w:pStyle w:val="Caption"/>
        <w:keepNext/>
        <w:jc w:val="center"/>
      </w:pPr>
      <w:r>
        <w:t>表2-1 主要附件的实际范围及用途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2835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附件</w:t>
            </w:r>
          </w:p>
        </w:tc>
        <w:tc>
          <w:tcPr>
            <w:tcW w:type="dxa" w:w="28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实际数据范围</w:t>
            </w:r>
          </w:p>
        </w:tc>
        <w:tc>
          <w:tcPr>
            <w:tcW w:type="dxa" w:w="28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本文用途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1.csv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250款 × 231个数值特征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第一问输入与第二问候选分析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2.csv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231 × 231相关矩阵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化合物关联网络与数值复核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3.xlsx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12张评分卡及汇总公式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确定评分规则与名称映射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4.csv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250款 × 50个感官属性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筛选45维连续监督目标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5.csv与6.csv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50 × 50及44 × 50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描述性矩阵核验，不作折外筛选先验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7.csv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250款 × 186个描述词变量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辅助诊断，未作为生成谱的预测输入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8.xlsx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校准量、阈值及名称等工作表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字段、单位与化学阈值核实</w:t>
            </w:r>
          </w:p>
        </w:tc>
      </w:tr>
    </w:tbl>
    <w:p>
      <w:pPr>
        <w:spacing w:after="60" w:line="72" w:lineRule="auto"/>
        <w:ind w:firstLine="0"/>
      </w:pPr>
    </w:p>
    <w:p>
      <w:r>
        <w:t>按beer进行一对一连接。附件4、7的条码均只剩96个不同值，不能作为主键；编号和条码也不作为模型输入。附件3的12张评分卡均未填写，汇总公式的缓存零值不算实测评分。</w:t>
      </w:r>
    </w:p>
    <w:p>
      <w:bookmarkStart w:id="1009" w:name="sec_9"/>
      <w:pPr>
        <w:pStyle w:val="Heading2"/>
      </w:pPr>
      <w:r>
        <w:t>2.2 缺失值、尺度与异常值</w:t>
      </w:r>
      <w:bookmarkEnd w:id="1009"/>
    </w:p>
    <w:p>
      <w:r>
        <w:t>附件1有73个化学缺失单元，占250×231的0.1264%，分布于9列、63款酒（25.2%样本），最高单列缺失率为10.8%。保留全部250款，仅用训练数据估计补值参数。45项感官目标均无缺失。化学表包含对数或相对测量及理化量，负值不能一律删除，各列也不能统一取指数还原浓度。</w:t>
      </w:r>
    </w:p>
    <w:p>
      <w:r>
        <w:t>与附件8校准量对照，37个基础字段在有效比较范围内符合以10为底的对数关系，零值曾以最小正值的一半替代；其余重叠GC-MS字段不满足统一直接log10关系。第一、二问保留给定数值表示；第三问删除五项汇总或派生量，并以69项匹配校准字段替换，形成69维校准量与157维相对量的226维混合表示。校准数据中的3个负值转为缺失，混合表共保留72个缺失单元。相对量没有统一浓度单位，化学阈值只在核实过的校准字段上执行。</w:t>
      </w:r>
    </w:p>
    <w:p>
      <w:r>
        <w:t>极端观测通过定位和模型对照处理。beer 156的输入极值影响线性外推，beer 81的高Stale hops评分难以由化学近邻解释，均未发现足以删除记录的证据。原始附件保留不变，处理过程和结果来源另存核验记录。</w:t>
      </w:r>
    </w:p>
    <w:p>
      <w:bookmarkStart w:id="1013" w:name="sec_13"/>
      <w:pPr>
        <w:pStyle w:val="Heading2"/>
      </w:pPr>
      <w:r>
        <w:t>2.3 相关矩阵及信息边界</w:t>
      </w:r>
      <w:bookmarkEnd w:id="1013"/>
    </w:p>
    <w:p>
      <w:r>
        <w:t>对附件2逐对复算Spearman相关，最大绝对差为6.66×10⁻¹⁶；与Pearson的差异明显。因此按实物矩阵采用Spearman，而不沿用题面对Pearson的文字称谓。附件5、6也可由对应样本的Spearman相关复现。附件6实际仅44个化学指标，不代替完整化学数据。</w:t>
      </w:r>
    </w:p>
    <w:p>
      <w:r>
        <w:t>附件2、5、6均由本批样本导出，用于描述性分析；预测交叉验证前不使用这些矩阵或附件8的GBM重要性、SHAP筛选变量。论坛表缺少评论全文、时间和批次信息，无法补充真实品评标签。</w:t>
      </w:r>
    </w:p>
    <w:p>
      <w:bookmarkStart w:id="1016" w:name="sec_16"/>
      <w:pPr>
        <w:pStyle w:val="2"/>
      </w:pPr>
      <w:r>
        <w:t>3 问题分析与技术路线</w:t>
      </w:r>
      <w:bookmarkEnd w:id="1016"/>
    </w:p>
    <w:p>
      <w:r>
        <w:t>三问使用同一套样本键和字段字典，评价对象各有不同：第一问检验真实啤酒的折外预测误差；第二问分析本批样本的关联与风格混杂；第三问检验生成分布，再搜索满足约束的迁移谱。</w:t>
      </w:r>
    </w:p>
    <w:p>
      <w:r>
        <w:t>预测采用多输出树，并与均值和岭回归比较；解释采用可直接复算的秩相关；生成采用经验边缘与收缩依赖结构。迁移先检查化学浓度与训练支持范围，再检查预测缺陷变化，比较目标接近度和保护约束之间的取舍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31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图1 三问的数据处理、模型与验证流程。第一问使用231维原表示；第三问使用69维校准量与157维相对量组成的226维混合表示。迁移训练排除全部11款Pils。</w:t>
      </w:r>
    </w:p>
    <w:p>
      <w:r>
        <w:t>第一问采用随机五折；生成方法在训练集内选择，再由外层留出数据评价；Stale hops按非Pils风格分组验证。Pils标签已多次用于开发诊断，不能再视为独立测试集。迁移失败的源酒始终保留在通过率分母中。</w:t>
      </w:r>
    </w:p>
    <w:p>
      <w:bookmarkStart w:id="1021" w:name="sec_21"/>
      <w:pPr>
        <w:pStyle w:val="2"/>
      </w:pPr>
      <w:r>
        <w:t>4 模型假设与符号</w:t>
      </w:r>
      <w:bookmarkEnd w:id="1021"/>
    </w:p>
    <w:p>
      <w:bookmarkStart w:id="1022" w:name="sec_22"/>
      <w:pPr>
        <w:pStyle w:val="Heading2"/>
      </w:pPr>
      <w:r>
        <w:t>4.1 建模假设及影响</w:t>
      </w:r>
      <w:bookmarkEnd w:id="1022"/>
    </w:p>
    <w:p>
      <w:r>
        <w:t>假设一，现有风格混合中的啤酒可作为随机五折的评价单位，训练与测试按编号隔离。不同批次或全新风格的预测能力需另行验证。</w:t>
      </w:r>
    </w:p>
    <w:p>
      <w:r>
        <w:t>假设二，附件的45维连续感官值在本批样本间可比。预测沿用该标准化尺度；缺少逐人评分及转换参数时，不推定其与原始0—6分存在已知映射。</w:t>
      </w:r>
    </w:p>
    <w:p>
      <w:r>
        <w:t>假设三，经验边缘和收缩秩相关可近似小样本风格分布，通过留出分布距离、零频率、方差和近邻指标检验；生产可行性另需实测。</w:t>
      </w:r>
    </w:p>
    <w:p>
      <w:r>
        <w:t>假设四，附件阈值可作为化学缺陷的参考。用阈值均值、中位数及扰动情景检查敏感性；Stale hops没有单一化学对应项，另用感官预测约束。</w:t>
      </w:r>
    </w:p>
    <w:p>
      <w:bookmarkStart w:id="1027" w:name="sec_27"/>
      <w:pPr>
        <w:pStyle w:val="Heading2"/>
      </w:pPr>
      <w:r>
        <w:t>4.2 主要符号</w:t>
      </w:r>
      <w:bookmarkEnd w:id="1027"/>
    </w:p>
    <w:p>
      <w:pPr>
        <w:pStyle w:val="Caption"/>
        <w:keepNext/>
        <w:jc w:val="center"/>
      </w:pPr>
      <w:r>
        <w:t>表4-1 主要符号及含义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835"/>
        <w:gridCol w:w="2835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符号</w:t>
            </w:r>
          </w:p>
        </w:tc>
        <w:tc>
          <w:tcPr>
            <w:tcW w:type="dxa" w:w="28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尺度或范围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n，p，K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样本数、化学维数、感官维数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n=250；p=231或226；K=45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xᵢ，yᵢ，sᵢ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化学向量、感官向量、风格标签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化学量按字段；感官为标准化值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T，mⱼ,T，dᵢⱼ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训练集、训练中位数、缺失指示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dᵢⱼ∈{0,1}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ρⱼₗ，τ，πⱼₖ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秩相关、网络阈值、入选频率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τ∈{0.6,0.7,0.8}；π∈[0,1]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Fⱼ，Φ，z(x)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经验边缘、标准正态CDF、高斯秩向量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无量纲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μₛ，Σₛ，Rₛ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风格秩中心、协方差、相关矩阵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秩空间参数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c_d，T_d，e_d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缺陷浓度、感官阈值、超阈程度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浓度与阈值单位一致；e_d无量纲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d(x)，rᵢ(x)，Gᵢ(x)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目标距离、修改幅度、距离改善率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秩空间距离；G为相对改善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f_b，Δ_b，Q₀.₉₅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第b个代理、配对预测差、95%分位数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标准化感官尺度</w:t>
            </w:r>
          </w:p>
        </w:tc>
      </w:tr>
    </w:tbl>
    <w:p>
      <w:pPr>
        <w:spacing w:after="60" w:line="72" w:lineRule="auto"/>
        <w:ind w:firstLine="0"/>
      </w:pPr>
    </w:p>
    <w:p>
      <w:bookmarkStart w:id="1029" w:name="sec_29"/>
      <w:pPr>
        <w:pStyle w:val="2"/>
      </w:pPr>
      <w:r>
        <w:t>5 缺失条件下的感官预测</w:t>
      </w:r>
      <w:bookmarkEnd w:id="1029"/>
    </w:p>
    <w:p>
      <w:bookmarkStart w:id="1030" w:name="sec_30"/>
      <w:pPr>
        <w:pStyle w:val="Heading2"/>
      </w:pPr>
      <w:r>
        <w:t>5.1 预测目标与评分量尺</w:t>
      </w:r>
      <w:bookmarkEnd w:id="1030"/>
    </w:p>
    <w:p>
      <w:r>
        <w:t>以250款酒的231维化学表示预测15项Aroma和30项Taste属性。按beer连接化学与感官表，编号、条码及风格标签不作为输入。保留全部样本，在训练管线中处理化学缺失值。</w:t>
      </w:r>
    </w:p>
    <w:p>
      <w:r>
        <w:t>部分描述符在原评分卡上以勾选记录，选中后继承所属类别的总体强度；经标准化和汇总，附件标签均为连续值，因此采用回归。</w:t>
      </w:r>
    </w:p>
    <w:p>
      <w:r>
        <w:t>题目要求预测0—6等级，但附件4提供的是标准化连续值。原研究先按品评员中心化、除以标准差，再汇总[1]。设sᵢₜₖ为啤酒i、品评员t、属性k的原评分，Tᵢ为参与该酒品评的人员集合，则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|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|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t</m:t>
            </m:r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</m:sub>
          <m:sup/>
          <m:e>
            <m:f>
              <m:num>
                <m:sSub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i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k</m:t>
                    </m:r>
                  </m:sub>
                </m:sSub>
                <m:r>
                  <w:rPr>
                    <w:rFonts w:ascii="Cambria Math" w:hAnsi="Cambria Math" w:eastAsia="Cambria Math"/>
                    <w:sz w:val="22"/>
                  </w:rPr>
                  <m:t xml:space="preserve">-</m:t>
                </m:r>
                <m:sSub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μ</m:t>
                    </m:r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k</m:t>
                    </m:r>
                  </m:sub>
                </m:sSub>
              </m:num>
              <m:den>
                <m:sSub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σ</m:t>
                    </m:r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k</m:t>
                    </m:r>
                  </m:sub>
                </m:sSub>
              </m:den>
            </m:f>
          </m:e>
        </m:nary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（5-1）</w:t>
      </w:r>
    </w:p>
    <w:p>
      <w:r>
        <w:t>附件未提供逐人评分、μₜₖ、σₜₖ及完整参与关系，附件3的评分输入也均为空。若在允许范围内令s′=aₖs+bₖ、μ′=aₖμ+bₖ、σ′=aₖσ，aₖ&gt;0，式（5-1）不变，原量尺的原点与单位却可改变。仅凭最终均值、标准差或[0,6]范围不能确定逆变换。因此本问输出可核查的45维连续预测，并在附件尺度计算误差；原始0—6等级尚未完成。可信校准需要与本批beer编号对应的真实评分，或逐人评分、转换参数和参与记录，不能用分位分级或线性拉伸代替。</w:t>
      </w:r>
    </w:p>
    <w:p>
      <w:bookmarkStart w:id="1036" w:name="sec_36"/>
      <w:pPr>
        <w:pStyle w:val="Heading2"/>
      </w:pPr>
      <w:r>
        <w:t>5.2 折内缺失处理与多输出ExtraTrees</w:t>
      </w:r>
      <w:bookmarkEnd w:id="1036"/>
    </w:p>
    <w:p>
      <w:r>
        <w:t>设外层训练集为T，dᵢⱼ=1表示第j个化学值缺失，dᵢⱼ=0表示已观测，mⱼ,T为训练集该列已观测值的中位数。采用中位数补值并附加缺失指示，使模型区分实测中位水平与缺失后填入的中位水平：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m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sub>
        </m:sSub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（5-2）</w:t>
      </w:r>
    </w:p>
    <w:p>
      <w:r>
        <w:t>仅对训练时出现缺失的列J_T附加指示，训练中全空的列按0保留。测试时使用训练所得中位数和指示列，不重新拟合；树模型不再标准化化学特征。</w:t>
      </w:r>
    </w:p>
    <w:p>
      <w:r>
        <w:t>补值保留对极端观测的稳健性，缺失指示保留检测缺失的信息。两者均在划分后估计。</w:t>
      </w:r>
    </w:p>
    <w:p>
      <w:r>
        <w:t>采用多输出极端随机树集成ExtraTrees[2]。每个节点随机抽取特征和候选阈值，以子节点损失之和最小为准划分；各输出共享树结构，叶节点保存目标均值。对节点样本集A，45维联合平方误差定义为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box>
          <m:e>
            <m:r>
              <m:rPr>
                <m:sty m:val="p"/>
                <m:scr m:val="script"/>
              </m:rPr>
              <w:rPr>
                <w:rFonts w:ascii="Cambria Math" w:hAnsi="Cambria Math" w:eastAsia="Cambria Math"/>
                <w:sz w:val="22"/>
              </w:rPr>
              <m:t xml:space="preserve">L</m:t>
            </m:r>
          </m:e>
        </m:box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A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sub>
          <m:sup/>
          <m:e>
            <m:nary>
              <m:naryPr>
                <m:chr m:val="∑"/>
                <m:limLoc m:val="undOvr"/>
              </m:naryPr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=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sub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4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5</m:t>
                </m:r>
              </m: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</m:e>
            </m:nary>
          </m:e>
        </m:nary>
        <m:sSub>
          <m:e>
            <m:r>
              <w:rPr>
                <w:rFonts w:ascii="Cambria Math" w:hAnsi="Cambria Math" w:eastAsia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acc>
              <m:accPr>
                <m:chr m:val="̄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sSup>
          <m:e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sup>
        </m:sSup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（5-3）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x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den>
        </m:f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  <m:r>
              <w:rPr>
                <w:rFonts w:ascii="Cambria Math" w:hAnsi="Cambria Math" w:eastAsia="Cambria Math"/>
                <w:sz w:val="22"/>
              </w:rPr>
              <m:t xml:space="preserve">=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p>
          <m:e>
            <m:f>
              <m:num>
                <m: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num>
              <m:den>
                <m:r>
                  <w:rPr>
                    <w:rFonts w:ascii="Cambria Math" w:hAnsi="Cambria Math" w:eastAsia="Cambria Math"/>
                    <w:sz w:val="22"/>
                  </w:rPr>
                  <m:t xml:space="preserve">|</m:t>
                </m:r>
                <m:sSub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L</m:t>
                    </m:r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b</m:t>
                    </m:r>
                  </m:sub>
                </m:sSub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|</m:t>
                </m:r>
              </m:den>
            </m:f>
          </m:e>
        </m:nary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b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x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b>
          <m:sup/>
          <m:e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</m:sSub>
          </m:e>
        </m:nary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B</m:t>
        </m:r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3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（5-4）</w:t>
      </w:r>
    </w:p>
    <w:p>
      <w:r>
        <w:t>其中L_b(x)为样本x在第b棵树中的叶节点。固定300棵树、叶节点至少3个样本，每次划分随机使用70%的输入特征。叶均值和集成平均可减少极端线性外推。</w:t>
      </w:r>
    </w:p>
    <w:p>
      <w:r>
        <w:t>45个输出共享划分，不逐目标调参。汇总后的目标方差并不完全相同，因此联合训练的权重与逐维等权评价不同，需同时报告总体和逐维误差。</w:t>
      </w:r>
    </w:p>
    <w:p>
      <w:bookmarkStart w:id="1046" w:name="sec_46"/>
      <w:pPr>
        <w:pStyle w:val="Heading2"/>
      </w:pPr>
      <w:r>
        <w:t>5.3 折外验证与模型比较</w:t>
      </w:r>
      <w:bookmarkEnd w:id="1046"/>
    </w:p>
    <w:p>
      <w:r>
        <w:t>固定随机种子20261023，将250款酒随机分为五折，每次200款训练、50款测试，合并每款酒仅在未参与训练时得到的折外预测。均值基线只使用训练折目标均值。普通岭回归[3]在补值后标准化输入与输出，并在各外层训练集内用四折选择α∈{0.1,1,10,100,1000,10⁴,10⁵,10⁶}；补值和标准化在每个内层训练折重新拟合。ExtraTrees参数固定，不参加上述内层搜索。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box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R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M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E</m:t>
            </m:r>
          </m:e>
        </m:box>
        <m:r>
          <w:rPr>
            <w:rFonts w:ascii="Cambria Math" w:hAnsi="Cambria Math" w:eastAsia="Cambria Math"/>
            <w:sz w:val="22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num>
              <m:den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5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0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×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4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5</m:t>
                </m:r>
              </m:den>
            </m:f>
            <m:nary>
              <m:naryPr>
                <m:chr m:val="∑"/>
                <m:limLoc m:val="undOvr"/>
              </m:naryPr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=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sub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5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0</m:t>
                </m:r>
              </m:sup>
              <m:e>
                <m:nary>
                  <m:naryPr>
                    <m:chr m:val="∑"/>
                    <m:limLoc m:val="undOvr"/>
                  </m:naryPr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k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=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4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5</m:t>
                    </m:r>
                  </m:sup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(</m:t>
                    </m:r>
                  </m:e>
                </m:nary>
              </m:e>
            </m:nary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sSubSup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y</m:t>
                    </m:r>
                  </m:e>
                </m:acc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  <m:sup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O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O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F</m:t>
                    </m:r>
                  </m:e>
                </m:box>
              </m:sup>
            </m:sSubSup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（5-5）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</m:e>
            </m:box>
          </m:sub>
          <m:sup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4</m:t>
            </m:r>
            <m:r>
              <w:rPr>
                <w:rFonts w:ascii="Cambria Math" w:hAnsi="Cambria Math" w:eastAsia="Cambria Math"/>
                <w:sz w:val="22"/>
              </w:rPr>
              <m:t xml:space="preserve">5</m:t>
            </m:r>
          </m:den>
        </m:f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=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4</m:t>
            </m:r>
            <m:r>
              <w:rPr>
                <w:rFonts w:ascii="Cambria Math" w:hAnsi="Cambria Math" w:eastAsia="Cambria Math"/>
                <w:sz w:val="22"/>
              </w:rPr>
              <m:t xml:space="preserve">5</m:t>
            </m:r>
          </m:sup>
          <m:e>
            <m:r>
              <w:rPr>
                <w:rFonts w:ascii="Cambria Math" w:hAnsi="Cambria Math" w:eastAsia="Cambria Math"/>
                <w:sz w:val="22"/>
              </w:rPr>
              <m:t xml:space="preserve">[</m:t>
            </m:r>
          </m:e>
        </m:nary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-</m:t>
        </m:r>
        <m:f>
          <m:num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  <m:sup/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</m:e>
            </m:nary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sSubSup>
              <m:e>
                <m:acc>
                  <m:accPr>
                    <m:chr m:val="̂"/>
                  </m:accPr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y</m:t>
                    </m:r>
                  </m:e>
                </m:acc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  <m:sup>
                <m:box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O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O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F</m:t>
                    </m:r>
                  </m:e>
                </m:box>
              </m:sup>
            </m:sSubSup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</m:sup>
            </m:sSup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  <m:sup/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</m:e>
            </m:nary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sSub>
              <m:e>
                <m:acc>
                  <m:accPr>
                    <m:chr m:val="̄"/>
                  </m:accPr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y</m:t>
                    </m:r>
                  </m:e>
                </m:acc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</m:sub>
            </m:sSub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 w:eastAsia="Cambria Math"/>
            <w:sz w:val="22"/>
          </w:rPr>
          <m:t xml:space="preserve">]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（5-6）</w:t>
      </w:r>
    </w:p>
    <w:p>
      <w:pPr>
        <w:pStyle w:val="Caption"/>
        <w:keepNext/>
        <w:jc w:val="center"/>
      </w:pPr>
      <w:r>
        <w:t>表5-1 45维标准化感官预测的折外指标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890"/>
        <w:gridCol w:w="1890"/>
        <w:gridCol w:w="1890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89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189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189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宏平均R²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训练折均值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0.409634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0.574456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-0.007574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普通岭回归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0.406092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0.589966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-0.065285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ExtraTrees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0.340851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0.486220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0.214638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1%/99%裁剪岭回归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0.352513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0.499179</w:t>
            </w:r>
          </w:p>
        </w:tc>
        <w:tc>
          <w:tcPr>
            <w:tcW w:type="dxa" w:w="189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0.185784</w:t>
            </w:r>
          </w:p>
        </w:tc>
      </w:tr>
    </w:tbl>
    <w:p>
      <w:pPr>
        <w:spacing w:after="60" w:line="72" w:lineRule="auto"/>
        <w:ind w:firstLine="0"/>
      </w:pPr>
    </w:p>
    <w:p>
      <w:r>
        <w:t>ExtraTrees的RMSE较均值降低15.36%，五个测试折均改善，降幅11.60%—17.91%。普通岭回归MAE略低，但RMSE高于均值2.70%，受少数大误差影响。训练1%—99%分位裁剪后的岭回归RMSE为0.499179，仍高于ExtraTrees，故采用后者。裁剪对照在检查原五折误差后提出，复用了该划分，属于探索性比较。</w:t>
      </w:r>
    </w:p>
    <w:p>
      <w:r>
        <w:t>MAE反映平均绝对偏差，RMSE更重视大误差，宏平均R²使45个目标等权。负R²表示折外误差大于该目标相对全样本均值的平方离差，不代表分类准确率。</w:t>
      </w:r>
    </w:p>
    <w:p>
      <w:bookmarkStart w:id="1053" w:name="sec_53"/>
      <w:pPr>
        <w:pStyle w:val="Heading2"/>
      </w:pPr>
      <w:r>
        <w:t>5.4 缺失压力与极端外推诊断</w:t>
      </w:r>
      <w:bookmarkEnd w:id="1053"/>
    </w:p>
    <w:p>
      <w:r>
        <w:t>在每折已观测测试特征中额外随机隐藏10%或20%，训练模型保持不变。两种遮蔽使用同组随机数，10%掩码是20%掩码的子集，模型间使用相同掩码。结果见表5-2。</w:t>
      </w:r>
    </w:p>
    <w:p>
      <w:pPr>
        <w:pStyle w:val="Caption"/>
        <w:keepNext/>
        <w:jc w:val="center"/>
      </w:pPr>
      <w:r>
        <w:t>表5-2 新增随机缺失下的RMSE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无新增缺失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隐藏10%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隐藏20%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20%相对变化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普通岭回归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0.589966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0.590951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0.564464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-4.32%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ExtraTrees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0.486220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0.490987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0.499218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+2.67%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裁剪岭回归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0.499179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0.507932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0.514142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+3.00%</w:t>
            </w:r>
          </w:p>
        </w:tc>
      </w:tr>
    </w:tbl>
    <w:p>
      <w:pPr>
        <w:spacing w:after="60" w:line="72" w:lineRule="auto"/>
        <w:ind w:firstLine="0"/>
      </w:pPr>
    </w:p>
    <w:p>
      <w:r>
        <w:t>ExtraTrees在20%情景下RMSE增加2.67%，裁剪岭回归增加3.00%。普通岭回归的下降主要来自beer 156：其X2.methyltetrahydrofuran.3.one为12596.43287，对应训练折最大值仅31.25344；acetic预测为12.00039，实测为−0.28048，该酒45维平均平方误差为8.651434。</w:t>
      </w:r>
    </w:p>
    <w:p>
      <w:r>
        <w:t>20%掩码恰好隐藏该极端单元格，补值后该酒误差降至0.721929，其他249款的合计误差反而增加。ExtraTrees和裁剪岭回归对此酒的误差为0.597805、0.635978。该结果反映极端外推，不能解释为缺失有益；没有证据认定记录错误，仍保留该酒。</w:t>
      </w:r>
    </w:p>
    <w:p>
      <w:r>
        <w:t>裁剪边界在每个内层训练折估计。beer 156所在外层折中，该特征训练99%分位数为19.311161，故能缓和外推；但裁剪也可能压缩真实稀有成分。一次随机遮蔽未覆盖检出限删失或成组仪器故障。</w:t>
      </w:r>
    </w:p>
    <w:p>
      <w:bookmarkStart w:id="1059" w:name="sec_59"/>
      <w:pPr>
        <w:pStyle w:val="Heading2"/>
      </w:pPr>
      <w:r>
        <w:t>5.5 逐维表现与应用边界</w:t>
      </w:r>
      <w:bookmarkEnd w:id="1059"/>
    </w:p>
    <w:p>
      <w:r>
        <w:t>ExtraTrees有44项R²为正、29项超过0.1；Taste和Aroma宏平均R²分别为0.235783、0.172350。acidity、lactic、acetic、bitternes的R²为0.708844、0.651877、0.646041、0.553414；A_esters_fruity、stale_hops、dms仅为−0.010524、0.018091、0.038774，逐维差异明显。</w:t>
      </w:r>
    </w:p>
    <w:p>
      <w:r>
        <w:t>A_esters_fruity和stale_hops的折外Spearman相关也仅为0.015752、0.153261。现有数据不能分离标签稀疏、风格差异与化学覆盖不足的影响，这些弱维度不宜承担强感官保证。</w:t>
      </w:r>
    </w:p>
    <w:p>
      <w:r>
        <w:t>裁剪岭回归在16项上优于ExtraTrees，但不按同批折外结果逐维拼接赢家，以免抬高评价。最终用250款拟合ExtraTrees供新样本预测，训练内拟合值不计入精度。上述结果适用于现有风格混合，未证明对全新风格的预测能力。附件制作者已做的全局标准化无法撤销，评价以该表示为条件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31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q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图2 第一问四种方法的五折折外误差、宏平均R²及ExtraTrees缺失压力结果。裁剪Ridge为稳健性对照；额外隐藏20%已观测特征后，ExtraTrees的RMSE由0.4862增至0.4992。</w:t>
      </w:r>
    </w:p>
    <w:p>
      <w:bookmarkStart w:id="1064" w:name="sec_64"/>
      <w:pPr>
        <w:pStyle w:val="Heading2"/>
      </w:pPr>
      <w:r>
        <w:t>5.6 补充对照与未见风格验证</w:t>
      </w:r>
      <w:bookmarkEnd w:id="1064"/>
    </w:p>
    <w:p>
      <w:r>
        <w:t>主结果完成后增加固定参数三折对照，用于检查模型家族及部署范围；这是同一批250款酒上的补充分析，不作为独立外部测试，也不替换表5-1的五折指标。四种模型使用相同随机划分，所有补值均只在训练折估计。ExtraTrees沿用300树、叶节点至少3样本及0.7特征比例；GBR逐目标拟合100棵深度2的树，学习率0.05、叶节点至少5样本；HGB逐目标迭代100次，学习率0.05、最多7叶、叶节点至少10样本、正则系数1。未据此调参或逐目标拼接赢家。</w:t>
      </w:r>
    </w:p>
    <w:p>
      <w:pPr>
        <w:pStyle w:val="Caption"/>
        <w:keepNext/>
        <w:jc w:val="center"/>
      </w:pPr>
      <w:r>
        <w:t>表5-3 固定参数补充对照与整风格留出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1701"/>
        <w:gridCol w:w="1701"/>
      </w:tblGrid>
      <w:tr>
        <w:trPr>
          <w:cantSplit/>
          <w:tblHeader/>
        </w:trPr>
        <w:tc>
          <w:tcPr>
            <w:tcW w:type="dxa" w:w="226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验证</w:t>
            </w:r>
          </w:p>
        </w:tc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模型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RMSE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宏平均R²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随机三折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训练折均值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0.5743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-0.0067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随机三折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ExtraTrees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0.2043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随机三折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逐目标GBR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0.4948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0.1786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随机三折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逐目标HGB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0.4951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0.1775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整风格三折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训练折均值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0.5878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-0.0461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整风格三折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ExtraTrees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0.5084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0.1516</w:t>
            </w:r>
          </w:p>
        </w:tc>
      </w:tr>
    </w:tbl>
    <w:p>
      <w:pPr>
        <w:spacing w:after="60" w:line="72" w:lineRule="auto"/>
        <w:ind w:firstLine="0"/>
      </w:pPr>
    </w:p>
    <w:p>
      <w:r>
        <w:t>整风格划分由GroupKFold按类别样本数平衡，三个测试折为83、83、84款，训练与测试风格互斥。与训练样本量接近的随机三折相比，ExtraTrees的RMSE增加3.76%。这反映未见风格预测更困难，不能将随机划分下的精度直接推广至新风格。固定参数提升树没有整体优势，故保留ExtraTrees主方案。</w:t>
      </w:r>
    </w:p>
    <w:p>
      <w:r>
        <w:t>对同一随机三折模型再施加20组配对测试掩码：10%掩码的RMSE均值为0.4956、掩码间标准差为0.0013；20%掩码的RMSE均值为0.5037、掩码间标准差为0.0022。这里的波动仅来自测试掩码，不含重新分折或重训的不确定性，也不模拟检出限删失和整组仪器失效。</w:t>
      </w:r>
    </w:p>
    <w:p>
      <w:r>
        <w:t>另按原五折、原模型参数及原测试掩码进行缺失指示消融，仅切换是否附加指示列，不根据结果重新选择参数。63款原始有缺失和187款原始完整的分组在新增遮蔽前确定，结果见表5-4。有指示分支的三组折外预测与原保存结果逐值一致。</w:t>
      </w:r>
    </w:p>
    <w:p>
      <w:pPr>
        <w:pStyle w:val="Caption"/>
        <w:keepNext/>
        <w:jc w:val="center"/>
      </w:pPr>
      <w:r>
        <w:t>表5-4 原始缺失分组下的指示变量消融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80"/>
        <w:gridCol w:w="2098"/>
        <w:gridCol w:w="2098"/>
        <w:gridCol w:w="2211"/>
      </w:tblGrid>
      <w:tr>
        <w:trPr>
          <w:cantSplit/>
          <w:tblHeader/>
        </w:trPr>
        <w:tc>
          <w:tcPr>
            <w:tcW w:type="dxa" w:w="198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样本组</w:t>
            </w:r>
          </w:p>
        </w:tc>
        <w:tc>
          <w:tcPr>
            <w:tcW w:type="dxa" w:w="68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款数</w:t>
            </w:r>
          </w:p>
        </w:tc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有指示RMSE</w:t>
            </w:r>
          </w:p>
        </w:tc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无指示RMSE</w:t>
            </w:r>
          </w:p>
        </w:tc>
        <w:tc>
          <w:tcPr>
            <w:tcW w:type="dxa" w:w="221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差值（有−无）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全部样本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250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0.486220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0.486310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-0.000090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原始有缺失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63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0.494276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0.494855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-0.000578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原始完整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187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0.483476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0.483398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+0.000078</w:t>
            </w:r>
          </w:p>
        </w:tc>
      </w:tr>
    </w:tbl>
    <w:p>
      <w:pPr>
        <w:spacing w:after="60" w:line="72" w:lineRule="auto"/>
        <w:ind w:firstLine="0"/>
      </w:pPr>
    </w:p>
    <w:p>
      <w:r>
        <w:t>新增10%缺失时，整体有、无指示的RMSE为0.490987、0.491344；20%时为0.499218、0.498925。原始有缺失组在三种情景下均略有改善，原始完整组则均略差，说明收益很小且依赖样本和遮蔽情景。添加指示也改变有效输入维数及随机候选特征数，不能把差异解释为缺失模式的因果作用。此处复用原五折的一组配对掩码，与上述三折20组掩码的波动含义不同。</w:t>
      </w:r>
    </w:p>
    <w:p>
      <w:bookmarkStart w:id="1072" w:name="sec_72"/>
      <w:pPr>
        <w:pStyle w:val="2"/>
      </w:pPr>
      <w:r>
        <w:t>6 化合物关联网络与关键候选</w:t>
      </w:r>
      <w:bookmarkEnd w:id="1072"/>
    </w:p>
    <w:p>
      <w:r>
        <w:t>本问分析全部250款啤酒，用化合物共变网络观察冗余和共同来源，再按化合物—感官边际关联提出候选。网络结构、候选稳定性和化学气味证据分别报告，相关清单不作为因果效应或独立测试性能。</w:t>
      </w:r>
    </w:p>
    <w:p>
      <w:bookmarkStart w:id="1074" w:name="sec_74"/>
      <w:pPr>
        <w:pStyle w:val="Heading2"/>
      </w:pPr>
      <w:r>
        <w:t>6.1 Spearman关联网络</w:t>
      </w:r>
      <w:bookmarkEnd w:id="1074"/>
    </w:p>
    <w:p>
      <w:r>
        <w:t>逐项核对附件2与附件1重算矩阵后，二者Spearman相关最大绝对差为6.66×10⁻¹⁶，说明附件2对应秩相关。设两个化学变量在共同非缺失样本中的平均秩向量为Rⱼ、Rₗ，则相关系数及无向邻接矩阵定义为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ρ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l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box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o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r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r</m:t>
            </m:r>
          </m:e>
        </m:box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l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l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box>
          <m:e>
            <m:r>
              <m:rPr>
                <m:sty m:val="b"/>
              </m:rPr>
              <w:rPr>
                <w:rFonts w:ascii="Cambria Math" w:hAnsi="Cambria Math" w:eastAsia="Cambria Math"/>
                <w:sz w:val="22"/>
              </w:rPr>
              <m:t xml:space="preserve">1</m:t>
            </m:r>
          </m:e>
        </m:box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|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ρ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l</m:t>
            </m:r>
          </m:sub>
        </m:sSub>
        <m:r>
          <w:rPr>
            <w:rFonts w:ascii="Cambria Math" w:hAnsi="Cambria Math" w:eastAsia="Cambria Math"/>
            <w:sz w:val="22"/>
          </w:rPr>
          <m:t xml:space="preserve">|</m:t>
        </m:r>
        <m:r>
          <w:rPr>
            <w:rFonts w:ascii="Cambria Math" w:hAnsi="Cambria Math" w:eastAsia="Cambria Math"/>
            <w:sz w:val="22"/>
          </w:rPr>
          <m:t xml:space="preserve">≥</m:t>
        </m:r>
        <m:r>
          <w:rPr>
            <w:rFonts w:ascii="Cambria Math" w:hAnsi="Cambria Math" w:eastAsia="Cambria Math"/>
            <w:sz w:val="22"/>
          </w:rPr>
          <m:t xml:space="preserve">τ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j</m:t>
        </m:r>
        <m:r>
          <w:rPr>
            <w:rFonts w:ascii="Cambria Math" w:hAnsi="Cambria Math" w:eastAsia="Cambria Math"/>
            <w:sz w:val="22"/>
          </w:rPr>
          <m:t xml:space="preserve">≠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l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（6-1）</w:t>
      </w:r>
    </w:p>
    <w:p>
      <w:r>
        <w:t>并列值取平均秩，缺失值按变量对删除。主阈值τ=0.7时保留231个节点、109条无向边，边均为正相关，150个节点孤立。阈值改为0.6或0.8时，边数为266或39，孤立节点为101或194。节点度数及加权度数反映共变邻居数量与强度；孤立不表示没有气味作用。</w:t>
      </w:r>
    </w:p>
    <w:p>
      <w:r>
        <w:t>全图保留颜色、pH等综合参数以描述样本结构；Top-3则排除这类非单一化合物指标。τ只控制图的稀疏程度，不是显著性或气味阈值。</w:t>
      </w:r>
    </w:p>
    <w:p>
      <w:r>
        <w:t>同来源成分可能随原料、发酵和风格共同变化，网络连边不能解释为化学反应或感官贡献。全样本网络只用于本问描述；若用于预测筛选，须在训练折内重建。</w:t>
      </w:r>
    </w:p>
    <w:p>
      <w:bookmarkStart w:id="1080" w:name="sec_80"/>
      <w:pPr>
        <w:pStyle w:val="Heading2"/>
      </w:pPr>
      <w:r>
        <w:t>6.2 感官Top-3候选与重抽样稳定性</w:t>
      </w:r>
      <w:bookmarkEnd w:id="1080"/>
    </w:p>
    <w:p>
      <w:r>
        <w:t>从231项中排除五项派生汇总量及颜色、pH等共13项综合参数，保留218项候选，对45个感官目标计算9810个关联。每项目标按|ρⱼₖ|降序取前三项，保留正负号，并列按附件顺序处理。135个候选位置涉及60种化合物，不以后验文献解释或预计算GBM/SHAP改选。</w:t>
      </w:r>
    </w:p>
    <w:p>
      <w:r>
        <w:t>化学—感官相关也使用共同观测样本，附表给出有效样本数。负相关仅表示化学值的秩与感官评分秩反向，不等于抑制作用。相对峰面积及变换值不能直接与浓度阈值比较。</w:t>
      </w:r>
    </w:p>
    <w:p>
      <w:r>
        <w:t>为判断排名对样本扰动的依赖，固定种子进行B=200次全样本行Bootstrap，每次重新计算相关并选择前三项。设Sₖ⁽ᵇ⁾为第b次的入选集合，频率定义为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π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den>
        </m:f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  <m:r>
              <w:rPr>
                <w:rFonts w:ascii="Cambria Math" w:hAnsi="Cambria Math" w:eastAsia="Cambria Math"/>
                <w:sz w:val="22"/>
              </w:rPr>
              <m:t xml:space="preserve">=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p>
          <m:e>
            <m:box>
              <m:e>
                <m:r>
                  <m:rPr>
                    <m:sty m:val="b"/>
                  </m:rP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e>
            </m:box>
          </m:e>
        </m:nary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j</m:t>
        </m:r>
        <m:r>
          <w:rPr>
            <w:rFonts w:ascii="Cambria Math" w:hAnsi="Cambria Math" w:eastAsia="Cambria Math"/>
            <w:sz w:val="22"/>
          </w:rPr>
          <m:t xml:space="preserve">∈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b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（6-2）</w:t>
      </w:r>
    </w:p>
    <w:p>
      <w:r>
        <w:t>135个位置的平均入选频率为0.455，中位数0.400，14个达到0.8。频率的最大蒙特卡洛标准误约0.035，小差异不宜过度解释。全样本行重采样没有固定风格比例，也不提供筛选后的显著性保证。</w:t>
      </w:r>
    </w:p>
    <w:p>
      <w:r>
        <w:t>另在22种风格内分别有放回抽取原样本数，固定混合比例重做200次Bootstrap。原135项的平均频率由0.455变为0.484，达到0.8的位置由14变为19。乙酸乙酯对应感官的频率为0.985，4VG为0.890。该补充不改全样本相关前三；固定风格比例仍保留风格之间的差异，不能视为已消除混杂。200次频率的小幅差别亦受蒙特卡洛误差影响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47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q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4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图3 化学关联网络及稳定性。(a) 实际|Spearman ρ|≥0.7网络，保留全部231节点和109条正相关边；81个非孤立节点采用固定种子20261023的分量内力导向布局及分量打包，并进行显示避碰，150个孤立节点在外围环逐点保留，节点面积随度增加。A—H为度最高八个节点，图内列简名；布局距离不表示化学浓度或因果关系。(b) 三个阈值下的边数。(c) 135个Top-3位置的200次配对重抽样入选频率，其中14个达到0.8；频率区间左闭右开，最后一组包含1。</w:t>
      </w:r>
    </w:p>
    <w:p>
      <w:bookmarkStart w:id="1088" w:name="sec_88"/>
      <w:pPr>
        <w:pStyle w:val="Heading2"/>
      </w:pPr>
      <w:r>
        <w:t>6.3 方法与风格敏感性</w:t>
      </w:r>
      <w:bookmarkEnd w:id="1088"/>
    </w:p>
    <w:p>
      <w:r>
        <w:t>以Pearson替代Spearman，并对化学与感官变量同时减去所属风格均值后重新计算秩相关。令s(i)为啤酒i的风格，该检查为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acc>
              <m:accPr>
                <m:chr m:val="̄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acc>
              <m:accPr>
                <m:chr m:val="̄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（6-3）</w:t>
      </w:r>
    </w:p>
    <w:p>
      <w:r>
        <w:t>用Jaccard衡量两份Top-3集合的一致性：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r>
          <w:rPr>
            <w:rFonts w:ascii="Cambria Math" w:hAnsi="Cambria Math" w:eastAsia="Cambria Math"/>
            <w:sz w:val="22"/>
          </w:rPr>
          <m:t xml:space="preserve">J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S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T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|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w:rPr>
                <w:rFonts w:ascii="Cambria Math" w:hAnsi="Cambria Math" w:eastAsia="Cambria Math"/>
                <w:sz w:val="22"/>
              </w:rPr>
              <m:t xml:space="preserve">∩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r>
              <w:rPr>
                <w:rFonts w:ascii="Cambria Math" w:hAnsi="Cambria Math" w:eastAsia="Cambria Math"/>
                <w:sz w:val="22"/>
              </w:rPr>
              <m:t xml:space="preserve">T</m:t>
            </m:r>
            <m:r>
              <w:rPr>
                <w:rFonts w:ascii="Cambria Math" w:hAnsi="Cambria Math" w:eastAsia="Cambria Math"/>
                <w:sz w:val="22"/>
              </w:rPr>
              <m:t xml:space="preserve">|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|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w:rPr>
                <w:rFonts w:ascii="Cambria Math" w:hAnsi="Cambria Math" w:eastAsia="Cambria Math"/>
                <w:sz w:val="22"/>
              </w:rPr>
              <m:t xml:space="preserve">∪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r>
              <w:rPr>
                <w:rFonts w:ascii="Cambria Math" w:hAnsi="Cambria Math" w:eastAsia="Cambria Math"/>
                <w:sz w:val="22"/>
              </w:rPr>
              <m:t xml:space="preserve">T</m:t>
            </m:r>
            <m:r>
              <w:rPr>
                <w:rFonts w:ascii="Cambria Math" w:hAnsi="Cambria Math" w:eastAsia="Cambria Math"/>
                <w:sz w:val="22"/>
              </w:rPr>
              <m:t xml:space="preserve">|</m:t>
            </m:r>
          </m:den>
        </m:f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（6-4）</w:t>
      </w:r>
    </w:p>
    <w:p>
      <w:r>
        <w:t>Spearman与Pearson的平均Jaccard为0.222；全样本与去风格均值后的平均为0.160，21项感官的两份清单完全不重合。候选显著依赖关联定义和风格构成。去均值只移除当前表示下的风格均值，不能控制风格内工艺、品牌等混杂。</w:t>
      </w:r>
    </w:p>
    <w:p>
      <w:r>
        <w:t>22种风格的样本量介于3至31款，去均值后的剩余变异也不相同。因此保留敏感性分析中的变化，不据预期机制替换原排名；Bootstrap频率只说明本批样本构成下的排名稳定性。</w:t>
      </w:r>
    </w:p>
    <w:p>
      <w:pPr>
        <w:pStyle w:val="Caption"/>
        <w:keepNext/>
        <w:jc w:val="center"/>
      </w:pPr>
      <w:r>
        <w:t>表6-1 既有Top-3代表候选的稳定性与证据判断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020"/>
        <w:gridCol w:w="1020"/>
        <w:gridCol w:w="1020"/>
        <w:gridCol w:w="3061"/>
      </w:tblGrid>
      <w:tr>
        <w:trPr>
          <w:cantSplit/>
          <w:tblHeader/>
        </w:trPr>
        <w:tc>
          <w:tcPr>
            <w:tcW w:type="dxa" w:w="294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感官—化合物</w:t>
            </w:r>
          </w:p>
        </w:tc>
        <w:tc>
          <w:tcPr>
            <w:tcW w:type="dxa" w:w="102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全样本ρ</w:t>
            </w:r>
          </w:p>
        </w:tc>
        <w:tc>
          <w:tcPr>
            <w:tcW w:type="dxa" w:w="102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入选频率</w:t>
            </w:r>
          </w:p>
        </w:tc>
        <w:tc>
          <w:tcPr>
            <w:tcW w:type="dxa" w:w="102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去风格ρ</w:t>
            </w:r>
          </w:p>
        </w:tc>
        <w:tc>
          <w:tcPr>
            <w:tcW w:type="dxa" w:w="30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证据判断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酯味指甲油(F)—乙酸乙酯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0.503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0.980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0.270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气味相符[1][4]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酯香香蕉(A)—乙酸异戊酯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0.283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0.650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0.300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气味相符[5]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酒花柑橘香(A)—香茅醇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0.590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0.281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混合物协同[6]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4VG感官—4-乙烯基愈创木酚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0.473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0.875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0.428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气味相符[5]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苦味—辛酸乙酯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0.593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0.985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0.465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同源间接关联[1]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麦芽总体味(F)—乙醇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0.472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0.960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-0.011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风格共变标记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酯香香蕉(A)—正己醇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0.945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0.237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山楂样背景[7]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麦芽焦糖味(F)—乙醛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0.433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0.970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0.142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生青味标准[7]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丁香味—柠檬烯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0.342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0.915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0.340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柑橘背景[8]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橙味—樟脑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0.367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0.865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0.312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花香协同背景[9]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DMS感官—松油烯-4-醇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-0.196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0.190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-0.126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目标机制未验证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陈旧酒花—2-十一醇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0.300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0.645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0.129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目标机制未验证</w:t>
            </w:r>
          </w:p>
        </w:tc>
      </w:tr>
    </w:tbl>
    <w:p>
      <w:pPr>
        <w:spacing w:after="60" w:line="72" w:lineRule="auto"/>
        <w:ind w:firstLine="0"/>
      </w:pPr>
    </w:p>
    <w:p>
      <w:bookmarkStart w:id="1096" w:name="sec_96"/>
      <w:pPr>
        <w:pStyle w:val="Heading2"/>
      </w:pPr>
      <w:r>
        <w:t>6.4 化学依据与解释边界</w:t>
      </w:r>
      <w:bookmarkEnd w:id="1096"/>
    </w:p>
    <w:p>
      <w:r>
        <w:t>表6-1中，乙酸乙酯的果香/溶剂样气味[1][4]、乙酸异戊酯的香蕉气味及4VG的丁香气味[5]与相应描述一致。香茅醇的依据来自与香叶醇、芳樟醇共同存在时的柑橘协同[6]，不能把单变量相关换算为独立贡献。辛酸乙酯—苦味虽有0.985的入选频率，原研究也只提出复杂感官联系的可能解释[1]；该研究与附件共享样本，不算外部重复验证。</w:t>
      </w:r>
    </w:p>
    <w:p>
      <w:r>
        <w:t>高入选频率也可能对应不匹配的气味。独立鲜啤GC-O/AEDA研究把正己醇描述为山楂样，并以乙醛作为生青味训练标准[7]，没有证明二者分别产生香蕉酯香和麦芽焦糖味。Amarillo酿造对照中的柠檬烯等成分随柑橘/花香共同改变[8]；芫荽啤酒实验报告樟脑在过量芳樟醇下增强花香[9]。这些结果补充了候选背景，仍不能解释本题柠檬烯—丁香味或樟脑—橙味的直接作用。</w:t>
      </w:r>
    </w:p>
    <w:p>
      <w:r>
        <w:t>对未入选Top-3的已知缺陷化合物另按名称列出对照，结果见表6-2，原候选清单保持不变。DMS和双乙酰分别具有卷心菜样与黄油样气味；啤酒加标试验还发现乙酸乙酯、乙酸异戊酯和芳樟醇对其感知有不同方向、浓度相关的影响[4]。这些试验说明基质交互确实存在，但不能据此断言它就是本样本弱相关的原因。</w:t>
      </w:r>
    </w:p>
    <w:p>
      <w:pPr>
        <w:pStyle w:val="Caption"/>
        <w:keepNext/>
        <w:jc w:val="center"/>
      </w:pPr>
      <w:r>
        <w:t>表6-2 已知缺陷化合物的名称对照（不改变Top-3）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850"/>
        <w:gridCol w:w="964"/>
        <w:gridCol w:w="964"/>
        <w:gridCol w:w="964"/>
        <w:gridCol w:w="3231"/>
      </w:tblGrid>
      <w:tr>
        <w:trPr>
          <w:cantSplit/>
          <w:tblHeader/>
        </w:trPr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感官—化合物</w:t>
            </w:r>
          </w:p>
        </w:tc>
        <w:tc>
          <w:tcPr>
            <w:tcW w:type="dxa" w:w="85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n/候选秩</w:t>
            </w:r>
          </w:p>
        </w:tc>
        <w:tc>
          <w:tcPr>
            <w:tcW w:type="dxa" w:w="96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全样本ρ</w:t>
            </w:r>
          </w:p>
        </w:tc>
        <w:tc>
          <w:tcPr>
            <w:tcW w:type="dxa" w:w="96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去风格ρ</w:t>
            </w:r>
          </w:p>
        </w:tc>
        <w:tc>
          <w:tcPr>
            <w:tcW w:type="dxa" w:w="96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入选频率</w:t>
            </w:r>
          </w:p>
        </w:tc>
        <w:tc>
          <w:tcPr>
            <w:tcW w:type="dxa" w:w="323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气味依据与样本结果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DMS感官—DMS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250/85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0.088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0.032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0.005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气味已知[4]；本样本弱相关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双乙酰感官—双乙酰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241/80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-0.101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-0.049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气味已知[4]；本样本弱相关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4VG感官—4VG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250/1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0.473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0.428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0.875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气味相符[5]；入选稳定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t2n感官—反式-2-壬烯醛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250/16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-0.151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-0.0005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0.050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纸板味依据[10]；本样本反向</w:t>
            </w:r>
          </w:p>
        </w:tc>
      </w:tr>
    </w:tbl>
    <w:p>
      <w:pPr>
        <w:spacing w:after="60" w:line="72" w:lineRule="auto"/>
        <w:ind w:firstLine="0"/>
      </w:pPr>
    </w:p>
    <w:p>
      <w:r>
        <w:t>表6-2沿用218项候选中的绝对相关排名和同一Bootstrap结果。双乙酰有241对有效观测，其余三项为250对；DMS、双乙酰的相关区间跨零，t2n对应化合物的负相关在去风格后接近零。因此，气味已知不保证商业样本中的单调相关，也不能用文献强行修正数据符号。反式-2-壬烯醛的老化纸板味有同位素研究支持[10]，但它不等于Stale hops。附件未单列游离异戊酸，不能把异戊酸乙酯当作同一种缺陷物；陈旧酒花Top-3的直接机制仍未证实。</w:t>
      </w:r>
    </w:p>
    <w:p>
      <w:r>
        <w:t>铁—金属味也需限定证据口径：二价铁盐溶液的人体感官试验观察到持续金属感[11]，但盐种、浓度及基质不同于本题的啤酒总铁测量，故只列一般背景，不移用试验浓度作为啤酒阈值。</w:t>
      </w:r>
    </w:p>
    <w:p>
      <w:r>
        <w:t>附录B-2逐项给出135个候选位置的化学名称、附件来源类别、单位、阈值、证据说明与引用。10项有相符的直接气味依据，36项仅有一般背景，29项属间接关联，60项仍未验证；一般背景不表示相应目标机制已经成立。阈值缺失处不补造，外部试验阈值不覆盖附件值。后续宜优先验证兼具排名稳定、风格内同向和匹配气味依据的候选，采用加标、重组或省略试验检验其实际贡献。</w:t>
      </w:r>
    </w:p>
    <w:p>
      <w:bookmarkStart w:id="1104" w:name="sec_104"/>
      <w:pPr>
        <w:pStyle w:val="Heading2"/>
      </w:pPr>
      <w:r>
        <w:t>6.5 折外置换与预测依赖</w:t>
      </w:r>
      <w:bookmarkEnd w:id="1104"/>
    </w:p>
    <w:p>
      <w:r>
        <w:t>为区分边际关联与模型使用的信息，按第一问原五折划分和固定ExtraTrees参数重拟合，本次折外RMSE为0.486219；主表原保存值为0.486220。在每个验证折中分别置换一个输入变量，连同其缺失指示一起移动，其他输入和模型固定；每折重复5次。记f_fk为第f折对第k目标的预测器，V_f为验证样本集合、n_f为其大小，π为该折随机排列，置换引起的误差变化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Δ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f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w:rPr>
                <w:rFonts w:ascii="Cambria Math" w:hAnsi="Cambria Math" w:eastAsia="Cambria Math"/>
                <w:sz w:val="22"/>
              </w:rPr>
              <m:t xml:space="preserve">r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sub>
            </m:sSub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sub>
            </m:sSub>
          </m:sub>
          <m:sup/>
          <m:e>
            <m:r>
              <w:rPr>
                <w:rFonts w:ascii="Cambria Math" w:hAnsi="Cambria Math" w:eastAsia="Cambria Math"/>
                <w:sz w:val="22"/>
              </w:rPr>
              <m:t xml:space="preserve">[</m:t>
            </m:r>
          </m:e>
        </m:nary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f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  <m:sup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π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j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,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</m:sub>
            </m:sSub>
          </m:sup>
        </m:sSubSup>
        <m:r>
          <w:rPr>
            <w:rFonts w:ascii="Cambria Math" w:hAnsi="Cambria Math" w:eastAsia="Cambria Math"/>
            <w:sz w:val="22"/>
          </w:rPr>
          <m:t xml:space="preserve">)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sup>
        </m:sSup>
        <m:r>
          <w:rPr>
            <w:rFonts w:ascii="Cambria Math" w:hAnsi="Cambria Math" w:eastAsia="Cambria Math"/>
            <w:sz w:val="22"/>
          </w:rPr>
          <m:t xml:space="preserve">-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f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sup>
        </m:sSup>
        <m:r>
          <w:rPr>
            <w:rFonts w:ascii="Cambria Math" w:hAnsi="Cambria Math" w:eastAsia="Cambria Math"/>
            <w:sz w:val="22"/>
          </w:rPr>
          <m:t xml:space="preserve">]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（6-5）</w:t>
      </w:r>
    </w:p>
    <w:p>
      <w:r>
        <w:t>先对每折5次取均值，再按验证样本数合并；负值保留，不截为零。表6-3给出代表物，标准差按五个折均值计算，正值折数只作稳定性描述，不作为显著性检验。对全部231项输入计算后，仅在与相关分析相同的218项化学候选中排序，完整45项结果见表B-3。</w:t>
      </w:r>
    </w:p>
    <w:p>
      <w:pPr>
        <w:pStyle w:val="Caption"/>
        <w:keepNext/>
        <w:jc w:val="center"/>
      </w:pPr>
      <w:r>
        <w:t>表6-3 代表候选的折外置换结果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134"/>
        <w:gridCol w:w="1587"/>
        <w:gridCol w:w="1757"/>
        <w:gridCol w:w="1417"/>
      </w:tblGrid>
      <w:tr>
        <w:trPr>
          <w:cantSplit/>
          <w:tblHeader/>
        </w:trPr>
        <w:tc>
          <w:tcPr>
            <w:tcW w:type="dxa" w:w="317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感官—化合物</w:t>
            </w:r>
          </w:p>
        </w:tc>
        <w:tc>
          <w:tcPr>
            <w:tcW w:type="dxa" w:w="113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置换名次</w:t>
            </w:r>
          </w:p>
        </w:tc>
        <w:tc>
          <w:tcPr>
            <w:tcW w:type="dxa" w:w="158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平均ΔMSE</w:t>
            </w:r>
          </w:p>
        </w:tc>
        <w:tc>
          <w:tcPr>
            <w:tcW w:type="dxa" w:w="175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折间标准差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正值折数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酯味指甲油(F)—乙酸乙酯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0.00235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0.00204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4VG感官—4VG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0.00624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0.00299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麦芽总体味(F)—乙醇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0.00248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0.00121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陈旧酒花—乙酸乙酯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0.00084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0.00074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4/5</w:t>
            </w:r>
          </w:p>
        </w:tc>
      </w:tr>
    </w:tbl>
    <w:p>
      <w:pPr>
        <w:spacing w:after="60" w:line="72" w:lineRule="auto"/>
        <w:ind w:firstLine="0"/>
      </w:pPr>
    </w:p>
    <w:p>
      <w:r>
        <w:t>置换前三与相关前三的平均Jaccard为0.080，30/45个目标没有共同候选。两种排名回答不同问题，故并列保留。4VG在边际相关、风格内相关、气味依据及预测依赖上均有支持；乙酸乙酯亦被预测器使用。麦芽总体—乙醇虽有预测依赖，风格内相关却近零，仍可能只是风格或共同工艺的标记。陈旧酒花的置换首项不在原相关前三中，其误差增量也小，不能据此提出加料因果方案。</w:t>
      </w:r>
    </w:p>
    <w:p>
      <w:r>
        <w:t>相关输入可能相互替代，逐项置换还会打破真实化学组合。为检查这一问题，每个训练折独立重建|Spearman|≥0.7网络，并将连通分量整体置换；五折分别形成165、167、166、169、167个分量。成员和逐折误差随附件保存，不将成员不同的分量混作同一对象求平均。这些分析提供模型依赖证据，均不识别因果效应。第一问使用231维附件表示，第三问改用69维校准量与157维相对量并另训代理；本问候选没有直接作为第三问的生成约束，三问的联系应限于证据核对和缺陷变量解释。</w:t>
      </w:r>
    </w:p>
    <w:p>
      <w:r>
        <w:t>以乙酸乙酯对酯味指甲油（F_esters_ethac）的依赖为例，表6-4列出逐折单项及模块置换。整个模块五折的误差增量均为正，单项仅四折为正，表明相邻输入可能共同承载预测信息。模块成员跨折变化，完整成员见表B-4，不将模块与单项增量之差视作乙酸乙酯的独立贡献。</w:t>
      </w:r>
    </w:p>
    <w:p>
      <w:pPr>
        <w:pStyle w:val="Caption"/>
        <w:keepNext/>
        <w:jc w:val="center"/>
      </w:pPr>
      <w:r>
        <w:t>表6-4 乙酸乙酯及其相关模块的逐折预测依赖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3260"/>
        <w:gridCol w:w="3260"/>
      </w:tblGrid>
      <w:tr>
        <w:trPr>
          <w:cantSplit/>
          <w:tblHeader/>
        </w:trPr>
        <w:tc>
          <w:tcPr>
            <w:tcW w:type="dxa" w:w="85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折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模块成员数</w:t>
            </w:r>
          </w:p>
        </w:tc>
        <w:tc>
          <w:tcPr>
            <w:tcW w:type="dxa" w:w="326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单项ΔMSE</w:t>
            </w:r>
          </w:p>
        </w:tc>
        <w:tc>
          <w:tcPr>
            <w:tcW w:type="dxa" w:w="326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模块ΔMSE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+0.00267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+0.03963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-0.00124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+0.02359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+0.00340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+0.02915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+0.00368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+0.03234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+0.00322</w:t>
            </w:r>
          </w:p>
        </w:tc>
        <w:tc>
          <w:tcPr>
            <w:tcW w:type="dxa" w:w="32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+0.02776</w:t>
            </w:r>
          </w:p>
        </w:tc>
      </w:tr>
    </w:tbl>
    <w:p>
      <w:pPr>
        <w:spacing w:after="60" w:line="72" w:lineRule="auto"/>
        <w:ind w:firstLine="0"/>
      </w:pPr>
    </w:p>
    <w:p>
      <w:r>
        <w:t>模块联合置换保留组内组合，仍会打破模块与其余输入之间的联系，因此不同于给定邻域后的条件置换。现有Bootstrap重算的是相关排名，不能用于声称条件重要性已经稳定。4VG在五折中均为单节点，其模块置换不提供额外的群组证据。</w:t>
      </w:r>
    </w:p>
    <w:p>
      <w:bookmarkStart w:id="1114" w:name="sec_114"/>
      <w:pPr>
        <w:pStyle w:val="2"/>
      </w:pPr>
      <w:r>
        <w:t>7 风格条件生成与受约束迁移</w:t>
      </w:r>
      <w:bookmarkEnd w:id="1114"/>
    </w:p>
    <w:p>
      <w:r>
        <w:t>第三问先学习目标风格的化学联合分布，再将Pils/Lager向Tripel迁移。生成检验分布贴近程度和新组合，迁移则在化学与感官约束下比较可行候选，两者分别评价。</w:t>
      </w:r>
    </w:p>
    <w:p>
      <w:bookmarkStart w:id="1116" w:name="sec_116"/>
      <w:pPr>
        <w:pStyle w:val="Heading2"/>
      </w:pPr>
      <w:r>
        <w:t>7.1 混合化学表示与高斯秩映射</w:t>
      </w:r>
      <w:bookmarkEnd w:id="1116"/>
    </w:p>
    <w:p>
      <w:r>
        <w:t>依据附件及原研究的数据框架[1]，删除五项汇总或派生变量，保留226维输入：69维以附件8的校准量替换，157维沿用附件1的相对表示，按beer连接。校准负值转为缺失，相对量负值保留。填补与经验分布只在当前训练集估计；迁移训练排除11款Pils，保留239款。</w:t>
      </w:r>
    </w:p>
    <w:p>
      <w:r>
        <w:t>采用Gaussian Copula分离边缘分布与依赖结构[12]。对第j维的不同观测值v，记小于v的样本数为N₍＜v₎、等于v的样本数为N₍＝v₎，用中点经验概率处理零值和并列值：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d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v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&lt;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v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+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=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v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/</m:t>
            </m:r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n</m:t>
            </m:r>
          </m:den>
        </m:f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Φ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p>
        </m:sSup>
        <m:r>
          <w:rPr>
            <w:rFonts w:ascii="Cambria Math" w:hAnsi="Cambria Math" w:eastAsia="Cambria Math"/>
            <w:sz w:val="22"/>
          </w:rPr>
          <m:t xml:space="preserve">(</m:t>
        </m:r>
        <m:sSubSup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d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sSubSup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Φ</m:t>
        </m:r>
        <m:r>
          <w:rPr>
            <w:rFonts w:ascii="Cambria Math" w:hAnsi="Cambria Math" w:eastAsia="Cambria Math"/>
            <w:sz w:val="22"/>
          </w:rPr>
          <m:t xml:space="preserve">(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（7-2）</w:t>
      </w:r>
    </w:p>
    <w:p>
      <w:r>
        <w:t>训练值使用中点概率，中间输入按线性插值评分，概率截在[0.5/n,1−0.5/n]。逆变换按经验CDF阶梯取值，生成新的联合组合，但单列取值仍来自训练观测。</w:t>
      </w:r>
    </w:p>
    <w:p>
      <w:bookmarkStart w:id="1122" w:name="sec_122"/>
      <w:pPr>
        <w:pStyle w:val="Heading2"/>
      </w:pPr>
      <w:r>
        <w:t>7.2 共享信息的条件Copula基准</w:t>
      </w:r>
      <w:bookmarkEnd w:id="1122"/>
    </w:p>
    <w:p>
      <w:r>
        <w:t>小风格样本不足以稳定估计226维协方差。基准模型共用全局经验边缘，将风格中心向全局中心收缩，局部协方差向合并风格内协方差收缩。协方差采用Ledoit–Wolf估计并加入小对角项。对nₛ款风格样本，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+</m:t>
            </m:r>
            <m:r>
              <w:rPr>
                <w:rFonts w:ascii="Cambria Math" w:hAnsi="Cambria Math" w:eastAsia="Cambria Math"/>
                <w:sz w:val="22"/>
              </w:rPr>
              <m:t xml:space="preserve">5</m:t>
            </m:r>
          </m:den>
        </m:f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+</m:t>
            </m:r>
            <m:r>
              <w:rPr>
                <w:rFonts w:ascii="Cambria Math" w:hAnsi="Cambria Math" w:eastAsia="Cambria Math"/>
                <w:sz w:val="22"/>
              </w:rPr>
              <m:t xml:space="preserve">2</m:t>
            </m:r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den>
        </m:f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μ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sSub>
          <m:e>
            <m:acc>
              <m:accPr>
                <m:chr m:val="̄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z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acc>
          <m:accPr>
            <m:chr m:val="̄"/>
          </m:accPr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</m:acc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（7-3）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Σ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Σ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Σ</m:t>
                </m:r>
              </m:e>
            </m:acc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w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h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</m:box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p>
        <m:r>
          <w:rPr>
            <w:rFonts w:ascii="Cambria Math" w:hAnsi="Cambria Math" w:eastAsia="Cambria Math"/>
            <w:sz w:val="22"/>
          </w:rPr>
          <m:t xml:space="preserve">∼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N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μ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Σ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（7-4）</w:t>
      </w:r>
    </w:p>
    <w:p>
      <w:r>
        <w:t>合并协方差由各风格减去自身中心后的残差估计。收缩降低估计波动，也可能减弱Kriek、Lambic特征，故再比较局部边缘方法。</w:t>
      </w:r>
    </w:p>
    <w:p>
      <w:bookmarkStart w:id="1127" w:name="sec_127"/>
      <w:pPr>
        <w:pStyle w:val="Heading2"/>
      </w:pPr>
      <w:r>
        <w:t>7.3 局部边缘Copula与平滑混合</w:t>
      </w:r>
      <w:bookmarkEnd w:id="1127"/>
    </w:p>
    <w:p>
      <w:r>
        <w:t>各风格分别建立经验边缘和高斯秩。缺失用该风格训练中位数填补，整列缺失时回退全局训练中位数。正则协方差经对角标准化得到相关矩阵，再混合局部Rₛ与合并局部秩所得R共享。记风格秩样本为zₛᵢ，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+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den>
        </m:f>
        <m:sSub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+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den>
        </m:f>
        <m:sSub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s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h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d</m:t>
                </m:r>
              </m:e>
            </m:box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ε</m:t>
        </m:r>
        <m:r>
          <w:rPr>
            <w:rFonts w:ascii="Cambria Math" w:hAnsi="Cambria Math" w:eastAsia="Cambria Math"/>
            <w:sz w:val="22"/>
          </w:rPr>
          <m:t xml:space="preserve">∼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N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（7-5）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p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u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</m:e>
            </m:box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ε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u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</m:e>
            </m:box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  <m:r>
          <w:rPr>
            <w:rFonts w:ascii="Cambria Math" w:hAnsi="Cambria Math" w:eastAsia="Cambria Math"/>
            <w:sz w:val="22"/>
          </w:rPr>
          <m:t xml:space="preserve">4</m:t>
        </m:r>
        <m:r>
          <w:rPr>
            <w:rFonts w:ascii="Cambria Math" w:hAnsi="Cambria Math" w:eastAsia="Cambria Math"/>
            <w:sz w:val="22"/>
          </w:rPr>
          <m:t xml:space="preserve">5</m:t>
        </m:r>
        <m:r>
          <w:rPr>
            <w:rFonts w:ascii="Cambria Math" w:hAnsi="Cambria Math" w:eastAsia="Cambria Math"/>
            <w:sz w:val="22"/>
          </w:rPr>
          <m:t xml:space="preserve">ε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I</m:t>
        </m:r>
        <m:r>
          <w:rPr>
            <w:rFonts w:ascii="Cambria Math" w:hAnsi="Cambria Math" w:eastAsia="Cambria Math"/>
            <w:sz w:val="22"/>
          </w:rPr>
          <m:t xml:space="preserve">∼</m:t>
        </m:r>
        <m:box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U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f</m:t>
            </m:r>
          </m:e>
        </m:box>
        <m:r>
          <w:rPr>
            <w:rFonts w:ascii="Cambria Math" w:hAnsi="Cambria Math" w:eastAsia="Cambria Math"/>
            <w:sz w:val="22"/>
          </w:rPr>
          <m:t xml:space="preserve">{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…</m:t>
        </m:r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n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（7-6）</w:t>
      </w:r>
    </w:p>
    <w:p>
      <w:r>
        <w:t>两者均用风格经验逆CDF还原。局部Copula使用单位边际高斯噪声，平滑混合在随机训练秩中心附近加固定强度扰动。前者在期望上保留经验零频率，后者须另行检查；两者都不能补足未观测尾部。</w:t>
      </w:r>
    </w:p>
    <w:p>
      <w:bookmarkStart w:id="1132" w:name="sec_132"/>
      <w:pPr>
        <w:pStyle w:val="Heading2"/>
      </w:pPr>
      <w:r>
        <w:t>7.4 嵌套选择、生成质量与感官画像</w:t>
      </w:r>
      <w:bookmarkEnd w:id="1132"/>
    </w:p>
    <w:p>
      <w:r>
        <w:t>采用两次三折风格分层外层验证，各训练集内部以两折选择三个候选。评价坐标统一由当前训练集基准Copula及五维PCA确定，再除以训练主成分标准差。每种方法生成300条，重复两个模拟种子。主指标为真实留出谱u与生成谱v的经验能量差异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acc>
          <m:accPr>
            <m:chr m:val="̂"/>
          </m:accPr>
          <m:e>
            <m:box>
              <m:e>
                <m:r>
                  <m:rPr>
                    <m:sty m:val="p"/>
                    <m:scr m:val="script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</m:e>
            </m:box>
          </m:e>
        </m:acc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U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V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2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U</m:t>
            </m:r>
            <m:r>
              <w:rPr>
                <w:rFonts w:ascii="Cambria Math" w:hAnsi="Cambria Math" w:eastAsia="Cambria Math"/>
                <w:sz w:val="22"/>
              </w:rPr>
              <m:t xml:space="preserve">V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U</m:t>
            </m:r>
            <m:r>
              <w:rPr>
                <w:rFonts w:ascii="Cambria Math" w:hAnsi="Cambria Math" w:eastAsia="Cambria Math"/>
                <w:sz w:val="22"/>
              </w:rPr>
              <m:t xml:space="preserve">U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V</m:t>
            </m:r>
            <m:r>
              <w:rPr>
                <w:rFonts w:ascii="Cambria Math" w:hAnsi="Cambria Math" w:eastAsia="Cambria Math"/>
                <w:sz w:val="22"/>
              </w:rPr>
              <m:t xml:space="preserve">V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U</m:t>
            </m:r>
            <m:r>
              <w:rPr>
                <w:rFonts w:ascii="Cambria Math" w:hAnsi="Cambria Math" w:eastAsia="Cambria Math"/>
                <w:sz w:val="22"/>
              </w:rPr>
              <m:t xml:space="preserve">V</m:t>
            </m:r>
          </m:sub>
        </m:sSub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m</m:t>
            </m:r>
            <m:r>
              <w:rPr>
                <w:rFonts w:ascii="Cambria Math" w:hAnsi="Cambria Math" w:eastAsia="Cambria Math"/>
                <w:sz w:val="22"/>
              </w:rPr>
              <m:t xml:space="preserve">l</m:t>
            </m:r>
          </m:den>
        </m:f>
        <m:nary>
          <m:naryPr>
            <m:chr m:val="∑"/>
            <m:limLoc m:val="undOvr"/>
          </m:naryPr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=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m</m:t>
            </m:r>
          </m:sup>
          <m:e>
            <m:nary>
              <m:naryPr>
                <m:chr m:val="∑"/>
                <m:limLoc m:val="undOvr"/>
              </m:naryPr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k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=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1</m:t>
                </m:r>
              </m:sub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‖</m:t>
                </m:r>
              </m:e>
            </m:nary>
          </m:e>
        </m:nary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u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sSub>
          <m:e>
            <m:r>
              <w:rPr>
                <w:rFonts w:ascii="Cambria Math" w:hAnsi="Cambria Math" w:eastAsia="Cambria Math"/>
                <w:sz w:val="22"/>
              </w:rPr>
              <m:t xml:space="preserve">‖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2</m:t>
            </m:r>
          </m:sub>
        </m:sSub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（7-7）</w:t>
      </w:r>
    </w:p>
    <w:p>
      <w:r>
        <w:t>Aᵤᵤ、Aᵥᵥ为组内全部有序对距离均值，包含零对角项；式（7-7）为未开平方的V统计量，越小越好。内层每折须满足：补缺后整行复制率、仅比较原有观测格的复制率均为零，生成与真实留出谱的最近邻距离中位数比≥0.35，最近训练行相等特征比例中位数≤0.95。通过后按平均能量选择，外层评价完整选择流程。</w:t>
      </w:r>
    </w:p>
    <w:p>
      <w:pPr>
        <w:pStyle w:val="Caption"/>
        <w:keepNext/>
        <w:jc w:val="center"/>
      </w:pPr>
      <w:r>
        <w:t>表7-1 风格生成的外层能量差异与全量拟合方法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风格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基准Copula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嵌套选择器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风格重采样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全量拟合方法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Tripel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0.2866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0.2939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0.3218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收缩Copula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Kriek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0.9528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0.7575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0.7434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局部边缘Copula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Lambic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0.8701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0.6669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0.6304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平滑混合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Pils/Lager（对照）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0.8098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0.5001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0.5736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局部边缘Copula</w:t>
            </w:r>
          </w:p>
        </w:tc>
      </w:tr>
    </w:tbl>
    <w:p>
      <w:pPr>
        <w:spacing w:after="60" w:line="72" w:lineRule="auto"/>
        <w:ind w:firstLine="0"/>
      </w:pPr>
    </w:p>
    <w:p>
      <w:r>
        <w:t>Kriek、Lambic的能量差异较基准降低20.5%、23.4%，Tripel增加约2.5%。前两者仍略逊于直接重采样。全量拟合后，三种指定风格各生成300条，另生成300条Pils对照；1200条均无完整训练行复制。</w:t>
      </w:r>
    </w:p>
    <w:p>
      <w:r>
        <w:t>按训练四分位距归一的边缘Wasserstein距离，其跨特征中位数在Kriek由0.5345降至0.4701，Lambic由0.4913降至0.4114。不过Kriek的跨特征均值由94.16升至153.19，反映极端变量影响；相关差异也未同步改善，故不能认定联合分布全面优于基准。重复划分复用同一批酒，折间波动不作独立样本置信区间。</w:t>
      </w:r>
    </w:p>
    <w:p>
      <w:r>
        <w:t>生成谱的44项感官由226维全量多输出树预测，Stale hops改用239款非Pils训练的固定单目标树。报告均值及5%、95%分位数，表示生成谱之间的预测差异，均保留附件标准化尺度。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94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gene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4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图4 三种风格的生成能量差异。柱为外层六折均值，误差线为折间标准差，非置信区间；每折先平均两个模拟种子。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879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profi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图5 三种风格的12维代表感官画像。点为预测均值，线为每风格300条生成谱的5%—95%范围，并非预测置信区间。Stale hops用非Pils单目标树，其余维度用226维多输出代理；均为标准化尺度。</w:t>
      </w:r>
    </w:p>
    <w:p>
      <w:bookmarkStart w:id="1142" w:name="sec_142"/>
      <w:pPr>
        <w:pStyle w:val="Heading2"/>
      </w:pPr>
      <w:r>
        <w:t>7.5 距离、支持域与中央候选池</w:t>
      </w:r>
      <w:bookmarkEnd w:id="1142"/>
    </w:p>
    <w:p>
      <w:r>
        <w:t>迁移沿用239款训练酒拟合的高斯秩变换和Tripel几何，使各方案使用同一距离。记z(x)为秩映射，目标距离d与改动r为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r>
          <w:rPr>
            <w:rFonts w:ascii="Cambria Math" w:hAnsi="Cambria Math" w:eastAsia="Cambria Math"/>
            <w:sz w:val="22"/>
          </w:rPr>
          <m:t xml:space="preserve">d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x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z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-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 w:eastAsia="Cambria Math"/>
                            <w:sz w:val="22"/>
                          </w:rPr>
                          <m:t xml:space="preserve">μ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</m:sub>
                </m:sSub>
                <m:sSup>
                  <m:e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)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/>
                            <w:sz w:val="22"/>
                          </w:rPr>
                          <m:t xml:space="preserve">T</m:t>
                        </m:r>
                      </m:e>
                    </m:box>
                  </m:sup>
                </m:sSup>
                <m:sSubSup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 w:eastAsia="Cambria Math"/>
                            <w:sz w:val="22"/>
                          </w:rPr>
                          <m:t xml:space="preserve">Σ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</m:sub>
                  <m:sup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-</m:t>
                    </m:r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1</m:t>
                    </m:r>
                  </m:sup>
                </m:sSubSup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z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(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  <m:r>
                  <w:rPr>
                    <w:rFonts w:ascii="Cambria Math" w:hAnsi="Cambria Math" w:eastAsia="Cambria Math"/>
                    <w:sz w:val="22"/>
                  </w:rPr>
                  <m:t xml:space="preserve">-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 w:eastAsia="Cambria Math"/>
                            <w:sz w:val="22"/>
                          </w:rPr>
                          <m:t xml:space="preserve">μ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eastAsia="Cambria Math"/>
                        <w:sz w:val="22"/>
                      </w:rPr>
                      <m:t xml:space="preserve">T</m:t>
                    </m:r>
                  </m:sub>
                </m:sSub>
                <m:r>
                  <w:rPr>
                    <w:rFonts w:ascii="Cambria Math" w:hAnsi="Cambria Math" w:eastAsia="Cambria Math"/>
                    <w:sz w:val="22"/>
                  </w:rPr>
                  <m:t xml:space="preserve">)</m:t>
                </m:r>
              </m:num>
              <m:den>
                <m:r>
                  <w:rPr>
                    <w:rFonts w:ascii="Cambria Math" w:hAnsi="Cambria Math" w:eastAsia="Cambria Math"/>
                    <w:sz w:val="22"/>
                  </w:rPr>
                  <m:t xml:space="preserve">p</m:t>
                </m:r>
              </m:den>
            </m:f>
          </m:e>
        </m:rad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p</m:t>
        </m:r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2</m:t>
        </m:r>
        <m:r>
          <w:rPr>
            <w:rFonts w:ascii="Cambria Math" w:hAnsi="Cambria Math" w:eastAsia="Cambria Math"/>
            <w:sz w:val="22"/>
          </w:rPr>
          <m:t xml:space="preserve">2</m:t>
        </m:r>
        <m:r>
          <w:rPr>
            <w:rFonts w:ascii="Cambria Math" w:hAnsi="Cambria Math" w:eastAsia="Cambria Math"/>
            <w:sz w:val="22"/>
          </w:rPr>
          <m:t xml:space="preserve">6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（7-8）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r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x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‖</m:t>
            </m:r>
            <m:r>
              <w:rPr>
                <w:rFonts w:ascii="Cambria Math" w:hAnsi="Cambria Math" w:eastAsia="Cambria Math"/>
                <w:sz w:val="22"/>
              </w:rPr>
              <m:t xml:space="preserve"> </m:t>
            </m:r>
            <m:r>
              <w:rPr>
                <w:rFonts w:ascii="Cambria Math" w:hAnsi="Cambria Math" w:eastAsia="Cambria Math"/>
                <w:sz w:val="22"/>
              </w:rPr>
              <m:t xml:space="preserve">z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x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r>
              <w:rPr>
                <w:rFonts w:ascii="Cambria Math" w:hAnsi="Cambria Math" w:eastAsia="Cambria Math"/>
                <w:sz w:val="22"/>
              </w:rPr>
              <m:t xml:space="preserve">z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)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‖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2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p</m:t>
                </m:r>
              </m:e>
            </m:rad>
          </m:den>
        </m:f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G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x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-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x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den>
        </m:f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（7-9）</w:t>
      </w:r>
    </w:p>
    <w:p>
      <w:r>
        <w:t>候选须在非Pils训练逐维范围内，且到真实Tripel的最近邻秩空间RMS距离不超过Tripel内部留一最近邻距离的95%分位数；另要求rᵢ≥0.05。该支持范围为经验规则，没有卡方概率标定。</w:t>
      </w:r>
    </w:p>
    <w:p>
      <w:r>
        <w:t>将已保存的前500条Tripel生成谱映射至秩空间，按c∈{0.2,0.4,0.6}向收缩中心移动并逆变换，得到1500条中央目标谱。与源谱按γ∈{0.25,0.5,0.75,1}插值，另加四条朝真实Tripel中位谱插值的候选：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c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μ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c</m:t>
        </m:r>
        <m:r>
          <w:rPr>
            <w:rFonts w:ascii="Cambria Math" w:hAnsi="Cambria Math" w:eastAsia="Cambria Math"/>
            <w:sz w:val="22"/>
          </w:rPr>
          <m:t xml:space="preserve">{</m:t>
        </m:r>
        <m:r>
          <w:rPr>
            <w:rFonts w:ascii="Cambria Math" w:hAnsi="Cambria Math" w:eastAsia="Cambria Math"/>
            <w:sz w:val="22"/>
          </w:rPr>
          <m:t xml:space="preserve">z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acc>
              <m:accPr>
                <m:chr m:val="̃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μ</m:t>
                </m:r>
              </m:e>
            </m:acc>
          </m:e>
          <m:sub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sub>
        </m:sSub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c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sSup>
          <m:e>
            <m:acc>
              <m:accPr>
                <m:chr m:val="̂"/>
              </m:accPr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F</m:t>
                </m:r>
              </m:e>
            </m:acc>
          </m:e>
          <m:sup>
            <m:r>
              <w:rPr>
                <w:rFonts w:ascii="Cambria Math" w:hAnsi="Cambria Math" w:eastAsia="Cambria Math"/>
                <w:sz w:val="22"/>
              </w:rPr>
              <m:t xml:space="preserve">-</m:t>
            </m:r>
            <m:r>
              <w:rPr>
                <w:rFonts w:ascii="Cambria Math" w:hAnsi="Cambria Math" w:eastAsia="Cambria Math"/>
                <w:sz w:val="22"/>
              </w:rPr>
              <m:t xml:space="preserve">1</m:t>
            </m:r>
          </m:sup>
        </m:sSup>
        <m:r>
          <w:rPr>
            <w:rFonts w:ascii="Cambria Math" w:hAnsi="Cambria Math" w:eastAsia="Cambria Math"/>
            <w:sz w:val="22"/>
          </w:rPr>
          <m:t xml:space="preserve">{</m:t>
        </m:r>
        <m:r>
          <w:rPr>
            <w:rFonts w:ascii="Cambria Math" w:hAnsi="Cambria Math" w:eastAsia="Cambria Math"/>
            <w:sz w:val="22"/>
          </w:rPr>
          <m:t xml:space="preserve">Φ</m:t>
        </m:r>
        <m:r>
          <w:rPr>
            <w:rFonts w:ascii="Cambria Math" w:hAnsi="Cambria Math" w:eastAsia="Cambria Math"/>
            <w:sz w:val="22"/>
          </w:rPr>
          <m:t xml:space="preserve">(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z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c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（7-10）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c</m:t>
            </m:r>
            <m:r>
              <w:rPr>
                <w:rFonts w:ascii="Cambria Math" w:hAnsi="Cambria Math" w:eastAsia="Cambria Math"/>
                <w:sz w:val="22"/>
              </w:rPr>
              <m:t xml:space="preserve">γ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-</m:t>
        </m:r>
        <m:r>
          <w:rPr>
            <w:rFonts w:ascii="Cambria Math" w:hAnsi="Cambria Math" w:eastAsia="Cambria Math"/>
            <w:sz w:val="22"/>
          </w:rPr>
          <m:t xml:space="preserve">γ</m:t>
        </m:r>
        <m:r>
          <w:rPr>
            <w:rFonts w:ascii="Cambria Math" w:hAnsi="Cambria Math" w:eastAsia="Cambria Math"/>
            <w:sz w:val="22"/>
          </w:rPr>
          <m:t xml:space="preserve">)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γ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k</m:t>
            </m:r>
            <m:r>
              <w:rPr>
                <w:rFonts w:ascii="Cambria Math" w:hAnsi="Cambria Math" w:eastAsia="Cambria Math"/>
                <w:sz w:val="22"/>
              </w:rPr>
              <m:t xml:space="preserve">c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（7-11）</w:t>
      </w:r>
    </w:p>
    <w:p>
      <w:r>
        <w:t>中央池含1500×4+4=6004个候选，与原1500条目标谱的6004池等量比较；另设原500条谱的2004池。中央目标谱均唯一，投影后仍逐源检查重复和支持范围，不能把候选数当作独立观测数。</w:t>
      </w:r>
    </w:p>
    <w:p>
      <w:r>
        <w:t>投影只截断四项缺陷浓度，使其不低于零且不超过情景交集上界，其余维度保留插值结果。截断后重新计算距离、支持范围和感官预测，以检查联合结构是否仍合理。</w:t>
      </w:r>
    </w:p>
    <w:p>
      <w:bookmarkStart w:id="1152" w:name="sec_152"/>
      <w:pPr>
        <w:pStyle w:val="Heading2"/>
      </w:pPr>
      <w:r>
        <w:t>7.6 化学阈值与最低改善要求</w:t>
      </w:r>
      <w:bookmarkEnd w:id="1152"/>
    </w:p>
    <w:p>
      <w:r>
        <w:t>DMS、双乙酰、4VG分别采用附件阈值均值和中位数，各乘0.8、0.9、1.0、1.1、1.2，形成十个情景。各情景下均要求超阈程度不增加：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≤</m:t>
        </m:r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sub>
        </m:sSub>
        <m:r>
          <w:rPr>
            <w:rFonts w:ascii="Cambria Math" w:hAnsi="Cambria Math" w:eastAsia="Cambria Math"/>
            <w:sz w:val="22"/>
          </w:rPr>
          <m:t xml:space="preserve">-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∀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s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（7-12）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≤</m:t>
        </m:r>
        <m:r>
          <w:rPr>
            <w:rFonts w:ascii="Cambria Math" w:hAnsi="Cambria Math" w:eastAsia="Cambria Math"/>
            <w:sz w:val="22"/>
          </w:rPr>
          <m:t xml:space="preserve"> 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≤</m:t>
        </m:r>
        <m:sSub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min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{</m:t>
        </m:r>
        <m:sSub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min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sSub>
          <m:e>
            <m:r>
              <w:rPr>
                <w:rFonts w:ascii="Cambria Math" w:hAnsi="Cambria Math" w:eastAsia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s</m:t>
            </m:r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d</m:t>
            </m:r>
          </m:sub>
        </m:sSub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（7-13）</w:t>
      </w:r>
    </w:p>
    <w:p>
      <w:r>
        <w:t>最严格阈值为DMS 13.8 μg/L、双乙酰0.072 mg/L、4VG 0.16 mg/L。源浓度已超阈时不得增加，未超阈时允许在阈值内变化。附件未给trans-2-nonenal阈值，故直接要求其浓度不增加。四项源值均采用观测校准量。</w:t>
      </w:r>
    </w:p>
    <w:p>
      <w:r>
        <w:t>以每款源酒原已保存迁移谱的改善幅度Gᵢ锚为参照，要求保留至少80%，且绝对改善不低于10%：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G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r>
          <w:rPr>
            <w:rFonts w:ascii="Cambria Math" w:hAnsi="Cambria Math" w:eastAsia="Cambria Math"/>
            <w:sz w:val="22"/>
          </w:rPr>
          <m:t xml:space="preserve">x</m:t>
        </m:r>
        <m:r>
          <w:rPr>
            <w:rFonts w:ascii="Cambria Math" w:hAnsi="Cambria Math" w:eastAsia="Cambria Math"/>
            <w:sz w:val="22"/>
          </w:rPr>
          <m:t xml:space="preserve">'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≥</m:t>
        </m:r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{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  <m:r>
          <w:rPr>
            <w:rFonts w:ascii="Cambria Math" w:hAnsi="Cambria Math" w:eastAsia="Cambria Math"/>
            <w:sz w:val="22"/>
          </w:rPr>
          <m:t xml:space="preserve">1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  <m:r>
          <w:rPr>
            <w:rFonts w:ascii="Cambria Math" w:hAnsi="Cambria Math" w:eastAsia="Cambria Math"/>
            <w:sz w:val="22"/>
          </w:rPr>
          <m:t xml:space="preserve">8</m:t>
        </m:r>
        <m:r>
          <w:rPr>
            <w:rFonts w:ascii="Cambria Math" w:hAnsi="Cambria Math" w:eastAsia="Cambria Math"/>
            <w:sz w:val="22"/>
          </w:rPr>
          <m:t xml:space="preserve">0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G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  <m:sup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h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</m:e>
            </m:box>
          </m:sup>
        </m:sSubSup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（7-14）</w:t>
      </w:r>
    </w:p>
    <w:p>
      <w:r>
        <w:t>敏感性比较另设保留100%原改善及绝对10%、30%、50%、60%下限。两种预测模型、三个候选池、六种下限、两种排序共72组，均以11款源酒为通过率分母。</w:t>
      </w:r>
    </w:p>
    <w:p>
      <w:pPr>
        <w:pStyle w:val="Caption"/>
        <w:keepNext/>
        <w:jc w:val="center"/>
      </w:pPr>
      <w:r>
        <w:t>表7-2 五项缺陷的变量及保护范围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87"/>
        <w:gridCol w:w="1814"/>
        <w:gridCol w:w="2381"/>
        <w:gridCol w:w="1871"/>
      </w:tblGrid>
      <w:tr>
        <w:trPr>
          <w:cantSplit/>
          <w:tblHeader/>
        </w:trPr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缺陷</w:t>
            </w:r>
          </w:p>
        </w:tc>
        <w:tc>
          <w:tcPr>
            <w:tcW w:type="dxa" w:w="158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表示与单位</w:t>
            </w:r>
          </w:p>
        </w:tc>
        <w:tc>
          <w:tcPr>
            <w:tcW w:type="dxa" w:w="181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附件阈值</w:t>
            </w:r>
          </w:p>
        </w:tc>
        <w:tc>
          <w:tcPr>
            <w:tcW w:type="dxa" w:w="238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type="dxa" w:w="187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解释边界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校准量，μg/L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均值17.25；中位19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十情景下超阈程度不增加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给定情景的化学保护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校准量，mg/L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均值0.29925；中位0.09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同上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给定情景的化学保护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4VG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校准量，mg/L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均值0.20633；中位0.20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同上，依题面按缺陷处理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给定情景的化学保护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校准量，mg/L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附件空缺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候选浓度不大于源浓度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不保证低于感知阈值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 hops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标准化感官预测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无单一化学行及阈值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中心预测与配对差Q95不增加，预留模型复核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代理检查，需实际品评验证</w:t>
            </w:r>
          </w:p>
        </w:tc>
      </w:tr>
    </w:tbl>
    <w:p>
      <w:pPr>
        <w:spacing w:after="60" w:line="72" w:lineRule="auto"/>
        <w:ind w:firstLine="0"/>
      </w:pPr>
    </w:p>
    <w:p>
      <w:r>
        <w:t>表7-3展示余量优先主方案的三款代表源，11款完整结果见表C-3。上界取十个情景的交集，裕量为上界减迁移浓度。beer 81的DMS从8.858685升至13.8 μg/L，仍满足超阈程度不增加，故不能把化学通过概括为四项浓度全部下降。</w:t>
      </w:r>
    </w:p>
    <w:p>
      <w:pPr>
        <w:pStyle w:val="Caption"/>
        <w:keepNext/>
        <w:jc w:val="center"/>
      </w:pPr>
      <w:r>
        <w:t>表7-3 代表源的迁移前后校准浓度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98"/>
        <w:gridCol w:w="1361"/>
        <w:gridCol w:w="1361"/>
        <w:gridCol w:w="1361"/>
        <w:gridCol w:w="1361"/>
        <w:gridCol w:w="907"/>
      </w:tblGrid>
      <w:tr>
        <w:trPr>
          <w:cantSplit/>
          <w:tblHeader/>
        </w:trPr>
        <w:tc>
          <w:tcPr>
            <w:tcW w:type="dxa" w:w="62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beer</w:t>
            </w:r>
          </w:p>
        </w:tc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化合物与单位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源浓度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迁移浓度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最严上界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剩余裕量</w:t>
            </w:r>
          </w:p>
        </w:tc>
        <w:tc>
          <w:tcPr>
            <w:tcW w:type="dxa" w:w="90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检查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0.0516208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0.0625324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0.0094676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8.85868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0.284814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0.247202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0.284814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0.0376123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0.523886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0.504705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0.523886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0.0191806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0.011935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0.00598882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0.011935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0.00594619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</w:tbl>
    <w:p>
      <w:pPr>
        <w:spacing w:after="60" w:line="72" w:lineRule="auto"/>
        <w:ind w:firstLine="0"/>
      </w:pPr>
    </w:p>
    <w:p>
      <w:r>
        <w:t>按绝对容差10⁻¹⁰统计，DMS、双乙酰及trans-2-nonenal分别有11、7、10款达到上界；4VG没有达到上界，11款均处于零下界。这些是所选谱的边界分布，不能据此判断某化合物是唯一限制因素；约束对迁移幅度的影响还需单独放宽后的反事实比较。</w:t>
      </w:r>
    </w:p>
    <w:p>
      <w:bookmarkStart w:id="1164" w:name="sec_164"/>
      <w:pPr>
        <w:pStyle w:val="Heading2"/>
      </w:pPr>
      <w:r>
        <w:t>7.7 Stale hops预测及beer 81误差诊断</w:t>
      </w:r>
      <w:bookmarkEnd w:id="1164"/>
    </w:p>
    <w:p>
      <w:r>
        <w:t>Stale hops仅由化学输入预测。非Pils训练内按风格留出误差和响应稳定性选择Ridge；四外层分组验证评价整个选择规则，RMSE为0.4200，同折多输出树为0.4280。Pils留出诊断中Ridge误差为0.5614；实际用于迁移的固定单目标树、旧多输出树误差分别为0.559206、0.526276。本轮另以相同参数、不同种子重拟合两种树作为选型对照，误差为0.5429、0.5307，这两组数对应不同模型实例。尾部加权备选为0.5157，但未通过非Pils精度门槛，Pils的R²也仅为−0.0007，故仍作备选诊断。</w:t>
      </w:r>
    </w:p>
    <w:p>
      <w:r>
        <w:t>先排除精度未优于均值或预测近常数的配置，再在一标准误差容忍范围内比较训练响应稳定性。辅助感官方向和尾部权重均在训练折估计，推理仍只输入化学量。该容忍范围用于选型，不解释为参数置信区间。</w:t>
      </w:r>
    </w:p>
    <w:p>
      <w:r>
        <w:t>beer 81实测Stale hops为1.6182，居250款第5高，239款训练酒中仅4款达到此水平。其旧模型25近邻评分范围为[−0.3668,1.0643]，非负加权均值无法预测到该高值。核查未见身份错配、缺失或非法校准负值；Ridge仍预测−0.0979，说明尾部信息及化学相似性尚不足以解释陈旧感。保留该酒，不改标签。Pils标签已多次查看，此处属于开发诊断。</w:t>
      </w:r>
    </w:p>
    <w:p>
      <w:bookmarkStart w:id="1168" w:name="sec_168"/>
      <w:pPr>
        <w:pStyle w:val="Heading2"/>
      </w:pPr>
      <w:r>
        <w:t>7.8 配对预测筛选与留出模型复核</w:t>
      </w:r>
      <w:bookmarkEnd w:id="1168"/>
    </w:p>
    <w:p>
      <w:r>
        <w:t>分别用Ridge和固定单目标树预测Stale hops，并保留旧多输出树作交叉检查。候选和源谱交由同一个bootstrap模型预测，形成配对差。要求当前40个筛选模型、旧30个筛选模型的差值95%分位数均≤0，两个中心预测也均不增加：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Δ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-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a</m:t>
        </m:r>
        <m:r>
          <w:rPr>
            <w:rFonts w:ascii="Cambria Math" w:hAnsi="Cambria Math" w:eastAsia="Cambria Math"/>
            <w:sz w:val="22"/>
          </w:rPr>
          <m:t xml:space="preserve">=</m:t>
        </m:r>
        <m:box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w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o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l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d</m:t>
            </m:r>
          </m:e>
        </m:box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（7-15）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Q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0</m:t>
            </m:r>
            <m:r>
              <w:rPr>
                <w:rFonts w:ascii="Cambria Math" w:hAnsi="Cambria Math" w:eastAsia="Cambria Math"/>
                <w:sz w:val="22"/>
              </w:rPr>
              <m:t xml:space="preserve">.</m:t>
            </m:r>
            <m:r>
              <w:rPr>
                <w:rFonts w:ascii="Cambria Math" w:hAnsi="Cambria Math" w:eastAsia="Cambria Math"/>
                <w:sz w:val="22"/>
              </w:rPr>
              <m:t xml:space="preserve">9</m:t>
            </m:r>
            <m:r>
              <w:rPr>
                <w:rFonts w:ascii="Cambria Math" w:hAnsi="Cambria Math" w:eastAsia="Cambria Math"/>
                <w:sz w:val="22"/>
              </w:rPr>
              <m:t xml:space="preserve">5</m:t>
            </m:r>
          </m:sub>
        </m:sSub>
        <m:r>
          <w:rPr>
            <w:rFonts w:ascii="Cambria Math" w:hAnsi="Cambria Math" w:eastAsia="Cambria Math"/>
            <w:sz w:val="22"/>
          </w:rPr>
          <m:t xml:space="preserve">{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Δ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w</m:t>
                </m:r>
              </m:e>
            </m:box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≤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Q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0</m:t>
            </m:r>
            <m:r>
              <w:rPr>
                <w:rFonts w:ascii="Cambria Math" w:hAnsi="Cambria Math" w:eastAsia="Cambria Math"/>
                <w:sz w:val="22"/>
              </w:rPr>
              <m:t xml:space="preserve">.</m:t>
            </m:r>
            <m:r>
              <w:rPr>
                <w:rFonts w:ascii="Cambria Math" w:hAnsi="Cambria Math" w:eastAsia="Cambria Math"/>
                <w:sz w:val="22"/>
              </w:rPr>
              <m:t xml:space="preserve">9</m:t>
            </m:r>
            <m:r>
              <w:rPr>
                <w:rFonts w:ascii="Cambria Math" w:hAnsi="Cambria Math" w:eastAsia="Cambria Math"/>
                <w:sz w:val="22"/>
              </w:rPr>
              <m:t xml:space="preserve">5</m:t>
            </m:r>
          </m:sub>
        </m:sSub>
        <m:r>
          <w:rPr>
            <w:rFonts w:ascii="Cambria Math" w:hAnsi="Cambria Math" w:eastAsia="Cambria Math"/>
            <w:sz w:val="22"/>
          </w:rPr>
          <m:t xml:space="preserve">{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Δ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b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d</m:t>
                </m:r>
              </m:e>
            </m:box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}</m:t>
        </m:r>
        <m:r>
          <w:rPr>
            <w:rFonts w:ascii="Cambria Math" w:hAnsi="Cambria Math" w:eastAsia="Cambria Math"/>
            <w:sz w:val="22"/>
          </w:rPr>
          <m:t xml:space="preserve">≤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（7-16）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-</m:t>
        </m:r>
        <m:sSubSup>
          <m:e>
            <m:r>
              <w:rPr>
                <w:rFonts w:ascii="Cambria Math" w:hAnsi="Cambria Math" w:eastAsia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0</m:t>
            </m:r>
          </m:sub>
          <m:sup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r>
              <w:rPr>
                <w:rFonts w:ascii="Cambria Math" w:hAnsi="Cambria Math" w:eastAsia="Cambria Math"/>
                <w:sz w:val="22"/>
              </w:rPr>
              <m:t xml:space="preserve">a</m:t>
            </m:r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≤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,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 </m:t>
        </m:r>
        <m:r>
          <w:rPr>
            <w:rFonts w:ascii="Cambria Math" w:hAnsi="Cambria Math" w:eastAsia="Cambria Math"/>
            <w:sz w:val="22"/>
          </w:rPr>
          <m:t xml:space="preserve">a</m:t>
        </m:r>
        <m:r>
          <w:rPr>
            <w:rFonts w:ascii="Cambria Math" w:hAnsi="Cambria Math" w:eastAsia="Cambria Math"/>
            <w:sz w:val="22"/>
          </w:rPr>
          <m:t xml:space="preserve">=</m:t>
        </m:r>
        <m:box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w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,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o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l</m:t>
            </m:r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d</m:t>
            </m:r>
          </m:e>
        </m:box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（7-17）</w:t>
      </w:r>
    </w:p>
    <w:p>
      <w:r>
        <w:t>另要求配对响应非零，池内平均响应标准差&gt;10⁻⁶，以排除近常数预测。旧中心为45输出树，旧bootstrap模型为单目标120树ExtraTrees。选谱后，用预留当前20个模型和新种子旧协议20个模型复核；固定树另生成20个复核模型。失败后不重选谱。旧历史10个模型仅作对照。模型均共享239款训练数据，分位数不是实际感官的95%保证。</w:t>
      </w:r>
    </w:p>
    <w:p>
      <w:r>
        <w:t>beer 96说明化学保护与预测复核需分别检查：6004个名义候选中有13个共同可行候选，选中谱通过十情景化学检查，但表7-4中预留当前模型有2/20个预测增量为正，Q95变为+0.02100，因此最终失败。旧协议复核通过不能抵消该失败；未根据预留结果重新挑选候选。</w:t>
      </w:r>
    </w:p>
    <w:p>
      <w:pPr>
        <w:pStyle w:val="Caption"/>
        <w:keepNext/>
        <w:jc w:val="center"/>
      </w:pPr>
      <w:r>
        <w:t>表7-4 beer 96的配对预测筛选与预留复核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907"/>
        <w:gridCol w:w="1361"/>
        <w:gridCol w:w="1984"/>
        <w:gridCol w:w="1701"/>
      </w:tblGrid>
      <w:tr>
        <w:trPr>
          <w:cantSplit/>
          <w:tblHeader/>
        </w:trPr>
        <w:tc>
          <w:tcPr>
            <w:tcW w:type="dxa" w:w="311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90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模型数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增量为正</w:t>
            </w:r>
          </w:p>
        </w:tc>
        <w:tc>
          <w:tcPr>
            <w:tcW w:type="dxa" w:w="198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配对差Q95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Q95检查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当前模型筛选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-0.02307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旧协议模型筛选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-0.01048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预留当前模型复核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+0.02100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未通过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预留旧协议模型复核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-0.04175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</w:tbl>
    <w:p>
      <w:pPr>
        <w:spacing w:after="60" w:line="72" w:lineRule="auto"/>
        <w:ind w:firstLine="0"/>
      </w:pPr>
    </w:p>
    <w:p>
      <w:r>
        <w:t>正增量数按逐模型配对差大于零统计，Q95不大于零为本表检查规则。少量正增量与Q95通过可能同时出现，不能把分位数筛选解释为所有模型均预测不增加。</w:t>
      </w:r>
    </w:p>
    <w:p>
      <w:bookmarkStart w:id="1177" w:name="sec_177"/>
      <w:pPr>
        <w:pStyle w:val="Heading2"/>
      </w:pPr>
      <w:r>
        <w:t>7.9 两种排序的迁移结果</w:t>
      </w:r>
      <w:bookmarkEnd w:id="1177"/>
    </w:p>
    <w:p>
      <w:r>
        <w:t>记两组筛选差值分位数为q新、q旧。余量优先先最小化较差分位数，完全相等时再比较几何目标J；几何优先直接最小化J。以hᵢ为源谱到真实Tripel秩均值的RMS距离，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>
          <m:e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=</m:t>
        </m:r>
        <m:f>
          <m:num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′</m:t>
                </m:r>
              </m:sup>
            </m:sSup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num>
          <m:den>
            <m:r>
              <w:rPr>
                <w:rFonts w:ascii="Cambria Math" w:hAnsi="Cambria Math" w:eastAsia="Cambria Math"/>
                <w:sz w:val="22"/>
              </w:rPr>
              <m:t xml:space="preserve">d</m:t>
            </m:r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den>
        </m:f>
        <m:r>
          <w:rPr>
            <w:rFonts w:ascii="Cambria Math" w:hAnsi="Cambria Math" w:eastAsia="Cambria Math"/>
            <w:sz w:val="22"/>
          </w:rPr>
          <m:t xml:space="preserve">+</m:t>
        </m:r>
        <m:r>
          <w:rPr>
            <w:rFonts w:ascii="Cambria Math" w:hAnsi="Cambria Math" w:eastAsia="Cambria Math"/>
            <w:sz w:val="22"/>
          </w:rPr>
          <m:t xml:space="preserve">0</m:t>
        </m:r>
        <m:r>
          <w:rPr>
            <w:rFonts w:ascii="Cambria Math" w:hAnsi="Cambria Math" w:eastAsia="Cambria Math"/>
            <w:sz w:val="22"/>
          </w:rPr>
          <m:t xml:space="preserve">.</m:t>
        </m:r>
        <m:r>
          <w:rPr>
            <w:rFonts w:ascii="Cambria Math" w:hAnsi="Cambria Math" w:eastAsia="Cambria Math"/>
            <w:sz w:val="22"/>
          </w:rPr>
          <m:t xml:space="preserve">2</m:t>
        </m:r>
        <m:f>
          <m:num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  <m:r>
              <w:rPr>
                <w:rFonts w:ascii="Cambria Math" w:hAnsi="Cambria Math" w:eastAsia="Cambria Math"/>
                <w:sz w:val="22"/>
              </w:rPr>
              <m:t xml:space="preserve">(</m:t>
            </m:r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′</m:t>
                </m:r>
              </m:sup>
            </m:sSup>
            <m:r>
              <w:rPr>
                <w:rFonts w:ascii="Cambria Math" w:hAnsi="Cambria Math" w:eastAsia="Cambria Math"/>
                <w:sz w:val="22"/>
              </w:rPr>
              <m:t xml:space="preserve">)</m:t>
            </m:r>
          </m:num>
          <m:den>
            <m:sSub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h</m:t>
                </m:r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</m:den>
        </m:f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（7-18）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g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</m:box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sSub>
          <m:e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a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g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</m:e>
            </m:box>
          </m:e>
          <m:sub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′</m:t>
                </m:r>
              </m:sup>
            </m:sSup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sSub>
              <m:e>
                <m:box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C</m:t>
                    </m:r>
                  </m:e>
                </m:box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max</m:t>
        </m:r>
        <m:r>
          <w:rPr>
            <w:rFonts w:ascii="Cambria Math" w:hAnsi="Cambria Math" w:eastAsia="Cambria Math"/>
            <w:sz w:val="22"/>
          </w:rPr>
          <m:t xml:space="preserve">(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q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n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w</m:t>
                </m:r>
              </m:e>
            </m:box>
          </m:sub>
        </m:sSub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q</m:t>
            </m:r>
          </m:e>
          <m:sub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l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d</m:t>
                </m:r>
              </m:e>
            </m:box>
          </m:sub>
        </m:sSub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,</m:t>
        </m:r>
        <m:sSub>
          <m:e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（7-19）</w:t>
      </w:r>
    </w:p>
    <w:p>
      <w:pPr>
        <w:pStyle w:val="Equation"/>
        <w:keepLines/>
        <w:tabs>
          <w:tab w:pos="4422" w:val="center"/>
          <w:tab w:pos="8957" w:val="right"/>
        </w:tabs>
        <w:spacing w:before="60" w:after="100"/>
      </w:pPr>
      <w:r>
        <w:tab/>
      </w:r>
      <m:oMath>
        <m:sSub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  <m:r>
              <w:rPr>
                <w:rFonts w:ascii="Cambria Math" w:hAnsi="Cambria Math" w:eastAsia="Cambria Math"/>
                <w:sz w:val="22"/>
              </w:rPr>
              <m:t xml:space="preserve">,</m:t>
            </m:r>
            <m:box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g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o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m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e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r</m:t>
                </m:r>
                <m:r>
                  <m:rPr>
                    <m:sty m:val="p"/>
                  </m:rPr>
                  <w:rPr>
                    <w:rFonts w:ascii="Cambria Math" w:hAnsi="Cambria Math" w:eastAsia="Cambria Math"/>
                    <w:sz w:val="22"/>
                  </w:rPr>
                  <m:t xml:space="preserve">y</m:t>
                </m:r>
              </m:e>
            </m:box>
          </m:sub>
          <m:sup>
            <m:r>
              <w:rPr>
                <w:rFonts w:ascii="Cambria Math" w:hAnsi="Cambria Math" w:eastAsia="Cambria Math"/>
                <w:sz w:val="22"/>
              </w:rPr>
              <m:t xml:space="preserve">*</m:t>
            </m:r>
          </m:sup>
        </m:sSubSup>
        <m:r>
          <w:rPr>
            <w:rFonts w:ascii="Cambria Math" w:hAnsi="Cambria Math" w:eastAsia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 w:eastAsia="Cambria Math"/>
            <w:sz w:val="22"/>
          </w:rPr>
          <m:t xml:space="preserve">arg</m:t>
        </m:r>
        <m:sSub>
          <m:e>
            <m:r>
              <m:rPr>
                <m:sty m:val="p"/>
              </m:rPr>
              <w:rPr>
                <w:rFonts w:ascii="Cambria Math" w:hAnsi="Cambria Math" w:eastAsia="Cambria Math"/>
                <w:sz w:val="22"/>
              </w:rPr>
              <m:t xml:space="preserve">min</m:t>
            </m:r>
          </m:e>
          <m:sub>
            <m:sSup>
              <m:e>
                <m:r>
                  <w:rPr>
                    <w:rFonts w:ascii="Cambria Math" w:hAnsi="Cambria Math" w:eastAsia="Cambria Math"/>
                    <w:sz w:val="22"/>
                  </w:rPr>
                  <m:t xml:space="preserve">x</m:t>
                </m:r>
              </m:e>
              <m:sup>
                <m:r>
                  <w:rPr>
                    <w:rFonts w:ascii="Cambria Math" w:hAnsi="Cambria Math" w:eastAsia="Cambria Math"/>
                    <w:sz w:val="22"/>
                  </w:rPr>
                  <m:t xml:space="preserve">′</m:t>
                </m:r>
              </m:sup>
            </m:sSup>
            <m:r>
              <w:rPr>
                <w:rFonts w:ascii="Cambria Math" w:hAnsi="Cambria Math" w:eastAsia="Cambria Math"/>
                <w:sz w:val="22"/>
              </w:rPr>
              <m:t xml:space="preserve">∈</m:t>
            </m:r>
            <m:sSub>
              <m:e>
                <m:box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 w:eastAsia="Cambria Math"/>
                        <w:sz w:val="22"/>
                      </w:rPr>
                      <m:t xml:space="preserve">C</m:t>
                    </m:r>
                  </m:e>
                </m:box>
              </m:e>
              <m:sub>
                <m:r>
                  <w:rPr>
                    <w:rFonts w:ascii="Cambria Math" w:hAnsi="Cambria Math" w:eastAsia="Cambria Math"/>
                    <w:sz w:val="22"/>
                  </w:rPr>
                  <m:t xml:space="preserve">i</m:t>
                </m:r>
              </m:sub>
            </m:sSub>
          </m:sub>
        </m:sSub>
        <m:sSub>
          <m:e>
            <m:r>
              <w:rPr>
                <w:rFonts w:ascii="Cambria Math" w:hAnsi="Cambria Math" w:eastAsia="Cambria Math"/>
                <w:sz w:val="22"/>
              </w:rPr>
              <m:t xml:space="preserve">J</m:t>
            </m:r>
          </m:e>
          <m:sub>
            <m:r>
              <w:rPr>
                <w:rFonts w:ascii="Cambria Math" w:hAnsi="Cambria Math" w:eastAsia="Cambria Math"/>
                <w:sz w:val="22"/>
              </w:rPr>
              <m:t xml:space="preserve">i</m:t>
            </m:r>
          </m:sub>
        </m:sSub>
        <m:r>
          <w:rPr>
            <w:rFonts w:ascii="Cambria Math" w:hAnsi="Cambria Math" w:eastAsia="Cambria Math"/>
            <w:sz w:val="22"/>
          </w:rPr>
          <m:t xml:space="preserve">(</m:t>
        </m:r>
        <m:sSup>
          <m:e>
            <m:r>
              <w:rPr>
                <w:rFonts w:ascii="Cambria Math" w:hAnsi="Cambria Math" w:eastAsia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 w:eastAsia="Cambria Math"/>
                <w:sz w:val="22"/>
              </w:rPr>
              <m:t xml:space="preserve">′</m:t>
            </m:r>
          </m:sup>
        </m:sSup>
        <m:r>
          <w:rPr>
            <w:rFonts w:ascii="Cambria Math" w:hAnsi="Cambria Math" w:eastAsia="Cambria Math"/>
            <w:sz w:val="22"/>
          </w:rPr>
          <m:t xml:space="preserve">)</m:t>
        </m:r>
        <m:r>
          <w:rPr>
            <w:rFonts w:ascii="Cambria Math" w:hAnsi="Cambria Math" w:eastAsia="Cambria Math"/>
            <w:sz w:val="22"/>
          </w:rPr>
          <m:t xml:space="preserve">.</m:t>
        </m:r>
      </m:oMath>
      <w:r>
        <w:tab/>
        <w:t>（7-20）</w:t>
      </w:r>
    </w:p>
    <w:p>
      <w:pPr>
        <w:pStyle w:val="Caption"/>
        <w:keepNext/>
        <w:jc w:val="center"/>
      </w:pPr>
      <w:r>
        <w:t>表7-5 保留原改善幅度至少80%时的迁移结果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预测模型/候选池/排序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选出数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复核通过数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所选谱改善中位数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20"/>
              </w:rPr>
              <w:t>通过谱改善中位数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稳定Ridge/中央6004/余量优先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53.17%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53.17%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固定树/原6004/余量优先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9/11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9/11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54.38%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54.38%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固定树/中央6004/余量优先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11/11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10/11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57.74%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58.44%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20"/>
              </w:rPr>
              <w:t>固定树/中央6004/几何优先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11/11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10/11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70.08%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20"/>
              </w:rPr>
              <w:t>70.08%</w:t>
            </w:r>
          </w:p>
        </w:tc>
      </w:tr>
    </w:tbl>
    <w:p>
      <w:pPr>
        <w:spacing w:after="60" w:line="72" w:lineRule="auto"/>
        <w:ind w:firstLine="0"/>
      </w:pPr>
    </w:p>
    <w:p>
      <w:r>
        <w:t>主比较采用固定树、中央6004池、余量优先。相对原6004池，通过数从9增至10，所选谱改善中位数从54.38%增至57.74%；后者包含复核失败的谱，通过谱中位数为58.44%。beer 96在两种排序下均因当前复核分位数+0.0210失败。</w:t>
      </w:r>
    </w:p>
    <w:p>
      <w:r>
        <w:t>两种预测模型使用相同源酒、候选数、化学情景及接近下限，可行集合的差别来自模型响应。候选存在和最终通过分开报告；固定树通过数较高，并不说明其真实陈旧感预测更准确。</w:t>
      </w:r>
    </w:p>
    <w:p>
      <w:pPr>
        <w:keepNext/>
        <w:spacing w:line="240" w:lineRule="auto" w:before="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78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_transf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7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图6 固定树、中央6004候选池与retain80条件下，11款Pils源的所选谱目标距离改善。余量优先和几何优先均通过10/11款，beer 96的审计失败保留；改善中位数分别为57.74%与70.08%，包括已选但失败的谱。几何优先为探索性应用示例，模型检查通过不代表实际品评成功。</w:t>
      </w:r>
    </w:p>
    <w:p>
      <w:bookmarkStart w:id="1186" w:name="sec_186"/>
      <w:pPr>
        <w:pStyle w:val="Heading2"/>
      </w:pPr>
      <w:r>
        <w:t>7.10 方案选择与后续验证</w:t>
      </w:r>
      <w:bookmarkEnd w:id="1186"/>
    </w:p>
    <w:p>
      <w:r>
        <w:t>固定树的几何优先方案同样有10/11款通过，改善中位数为70.08%，可作应用示例。该方案在查看72组结果后提出，属于探索性选择；最初Ridge方案仍为5/11。有限候选搜索不代表连续空间的全局最优。</w:t>
      </w:r>
    </w:p>
    <w:p>
      <w:r>
        <w:t>化学保护仅覆盖给定十个阈值情景。迁移结果为化学目标谱和预测画像，10/11是模型检查通过数；实际品评效果及酿造可行性须通过新批次检测和盲品检验。</w:t>
      </w:r>
    </w:p>
    <w:p>
      <w:bookmarkStart w:id="1189" w:name="sec_189"/>
      <w:pPr>
        <w:pStyle w:val="2"/>
      </w:pPr>
      <w:r>
        <w:t>8 结果检验与模型评价</w:t>
      </w:r>
      <w:bookmarkEnd w:id="1189"/>
    </w:p>
    <w:p>
      <w:bookmarkStart w:id="1190" w:name="sec_190"/>
      <w:pPr>
        <w:pStyle w:val="Heading2"/>
      </w:pPr>
      <w:r>
        <w:t>8.1 误差与稳定性证据的适用范围</w:t>
      </w:r>
      <w:bookmarkEnd w:id="1190"/>
    </w:p>
    <w:p>
      <w:r>
        <w:t>第一问RMSE较均值降低15.36%，新增20%随机缺失后增加2.67%，但逐维性能差异明显。Stale hops及部分酯香描述符仍接近均值预测，不能由酸度等强项推及所有感官。主表使用一个随机五折种子；补充三折及整风格验证仍来自同一批酒。缺失指示消融的整体RMSE差不足0.0004，且在20%遮蔽时转为不利，故不将缺失指示概括为统一增益。</w:t>
      </w:r>
    </w:p>
    <w:p>
      <w:r>
        <w:t>第二问的网络边数随阈值由266降至109再降至39；Top-3平均Bootstrap入选频率为0.455，说明不少化合物可相互替代。去风格均值后21项感官的Top-3完全变化，表明全局相关受风格差异影响。统计稳定性与直接气味依据需分别判断。</w:t>
      </w:r>
    </w:p>
    <w:p>
      <w:r>
        <w:t>第三问Kriek、Lambic的能量差异下降，但部分指标仍逊于直接重采样。生成方法在贴近分布与形成新组合之间存在取舍。感官画像的分位区间描述生成谱之间的差异，不是新酒预测误差的置信区间。</w:t>
      </w:r>
    </w:p>
    <w:p>
      <w:bookmarkStart w:id="1194" w:name="sec_194"/>
      <w:pPr>
        <w:pStyle w:val="Heading2"/>
      </w:pPr>
      <w:r>
        <w:t>8.2 阈值与迁移策略敏感性</w:t>
      </w:r>
      <w:bookmarkEnd w:id="1194"/>
    </w:p>
    <w:p>
      <w:r>
        <w:t>化学约束取阈值均值、中位数及各自±20%扰动的十个情景交集。浓度保护通过并不代表Stale hops感官检查通过，两者分别报告。</w:t>
      </w:r>
    </w:p>
    <w:p>
      <w:r>
        <w:t>72组迁移方案比较两种预测模型、三个候选池、六种接近下限和两种排序。主比较保持预测模型、检查规则、下限与候选数相同；几何优先结果作为探索性方案展示。逐源结果保留无候选的酒及beer 96失败。</w:t>
      </w:r>
    </w:p>
    <w:p>
      <w:r>
        <w:t>固定树与稳定Ridge在相同候选空间分别有10/11和5/11款通过，说明可行方案依赖预测模型。Ridge在非Pils分组验证中略好，却未改善Pils误差。预留重抽样模型的复核仍来自同一批训练酒，无法替代独立品评。</w:t>
      </w:r>
    </w:p>
    <w:p>
      <w:r>
        <w:t>历史独立重建已复现三组主迁移比较的33条关键结果；全探索网格尚未逐项一致。792条策略中16条候选编号、7条状态及4条新旧模型一致通过标志不同；72组汇总中9组计数变化，其中4组的一致通过数变化。部分选中结果的改善率差达0.0820，不能全部归为末位浮点误差。本文保留已审查的原始保存结果，完整差异见随附重建核验记录。</w:t>
      </w:r>
    </w:p>
    <w:p>
      <w:bookmarkStart w:id="1199" w:name="sec_199"/>
      <w:pPr>
        <w:pStyle w:val="Heading2"/>
      </w:pPr>
      <w:r>
        <w:t>8.3 方法优点与主要不足</w:t>
      </w:r>
      <w:bookmarkEnd w:id="1199"/>
    </w:p>
    <w:p>
      <w:r>
        <w:t>本方法统一核对身份、字段、量尺与浓度单位，补值和选型限定在训练数据内。预测、关联、生成分别设置对照，迁移保留候选数、约束和失败记录，结果可以按样本追溯。</w:t>
      </w:r>
    </w:p>
    <w:p>
      <w:r>
        <w:t>主要不足是原始0—6评分无法校准，小风格样本偏少，且多数化学候选尚缺直接机制证据。Stale hops跨风格预测尤其薄弱；附件没有储存、批次及重复品评条件，无法据此解释误差来源。</w:t>
      </w:r>
    </w:p>
    <w:p>
      <w:bookmarkStart w:id="1202" w:name="sec_202"/>
      <w:pPr>
        <w:pStyle w:val="2"/>
      </w:pPr>
      <w:r>
        <w:t>9 结论与建议</w:t>
      </w:r>
      <w:bookmarkEnd w:id="1202"/>
    </w:p>
    <w:p>
      <w:r>
        <w:t>基于250款啤酒，本文完成45维标准化感官预测、化合物关联分析和风格条件生成。ExtraTrees五折RMSE为0.4862；|ρ|≥0.7时网络有109条边，报告135个Top-3位置及其稳定性。三种指定风格各生成300条化学谱，并给出感官预测画像。</w:t>
      </w:r>
    </w:p>
    <w:p>
      <w:r>
        <w:t>Pils/Lager向Tripel迁移时，固定树、中央候选池和余量优先方案有10/11款通过模型检查，所选谱目标距离缩短中位数为57.74%；几何优先的探索性结果为70.08%。这些结果支持进一步筛选化学目标谱，尚需理化检测和盲品验证。</w:t>
      </w:r>
    </w:p>
    <w:p>
      <w:r>
        <w:t>后续应补充逐人原始评分及标准化参数，并对陈旧感高的酒收集储存时间、温度、包装、批次和重复品评记录。化学候选可通过加标、重组或省略试验检验；迁移方案应在新批次样本上重新测试。</w:t>
      </w:r>
    </w:p>
    <w:p>
      <w:bookmarkStart w:id="1206" w:name="sec_206"/>
      <w:pPr>
        <w:pStyle w:val="2"/>
      </w:pPr>
      <w:r>
        <w:t>使用声明</w:t>
      </w:r>
      <w:bookmarkEnd w:id="1206"/>
    </w:p>
    <w:p>
      <w:r>
        <w:t>本研究使用OpenAI Codex辅助核对数据、编写与排查Python程序、复核计算结果、制作图表，以及修订论文文字和排版。论文中的数值以附件数据和程序运行结果为依据，原始数据未由生成内容替代；作者对提交内容及结论负责。</w:t>
      </w:r>
    </w:p>
    <w:p>
      <w:bookmarkStart w:id="1208" w:name="sec_208"/>
      <w:pPr>
        <w:pStyle w:val="2"/>
      </w:pPr>
      <w:r>
        <w:t>参考文献</w:t>
      </w:r>
      <w:bookmarkEnd w:id="1208"/>
    </w:p>
    <w:p>
      <w:pPr>
        <w:pStyle w:val="ReferenceText"/>
        <w:ind w:left="369" w:hanging="369"/>
      </w:pPr>
      <w:r>
        <w:t>[1] Michiel Schreurs, Supinya Piampongsant, Miguel Roncoroni, et al. Predicting and improving complex beer flavor through machine learning[J]. Nature Communications, 15: 2368, 2024. DOI: 10.1038/s41467-024-46346-0.</w:t>
      </w:r>
    </w:p>
    <w:p>
      <w:pPr>
        <w:pStyle w:val="ReferenceText"/>
        <w:ind w:left="369" w:hanging="369"/>
      </w:pPr>
      <w:r>
        <w:t>[2] Pierre Geurts, Damien Ernst, Louis Wehenkel. Extremely randomized trees[J]. Machine Learning, 63: 3–42, 2006. DOI: 10.1007/s10994-006-6226-1.</w:t>
      </w:r>
    </w:p>
    <w:p>
      <w:pPr>
        <w:pStyle w:val="ReferenceText"/>
        <w:ind w:left="369" w:hanging="369"/>
      </w:pPr>
      <w:r>
        <w:t>[3] Arthur E. Hoerl, Robert W. Kennard. Ridge Regression: Biased Estimation for Nonorthogonal Problems[J]. Technometrics, 12(1): 55–67, 1970. DOI: 10.1080/00401706.1970.10488634.</w:t>
      </w:r>
    </w:p>
    <w:p>
      <w:pPr>
        <w:pStyle w:val="ReferenceText"/>
        <w:ind w:left="369" w:hanging="369"/>
      </w:pPr>
      <w:r>
        <w:t>[4] Stefan Hanke, V. Ditz, M. Herrmann, et al. Influence of Ethyl Acetate, Isoamyl Acetate and Linalool on off-flavour Perception in Beer[J]. BrewingScience, 63(7/8): 94–99, 2010. https://brewingscience.de/index.php/brewingscience/article/view/456，访问日期2026-10-23。</w:t>
      </w:r>
    </w:p>
    <w:p>
      <w:pPr>
        <w:pStyle w:val="ReferenceText"/>
        <w:ind w:left="369" w:hanging="369"/>
      </w:pPr>
      <w:r>
        <w:t>[5] Magdalena Müller, Martina Gastl, Thomas Becker. Key constituents, flavour profiles and specific sensory evaluation of wheat style non-alcoholic beers depending on their production method[J]. Journal of the Institute of Brewing, 127(3): 262–272, 2021. DOI: 10.1002/jib.663.</w:t>
      </w:r>
    </w:p>
    <w:p>
      <w:pPr>
        <w:pStyle w:val="ReferenceText"/>
        <w:ind w:left="369" w:hanging="369"/>
      </w:pPr>
      <w:r>
        <w:t>[6] Kiyoshi Takoi, Yutaka Itoga, Koichiro Koie, et al. The Contribution of Geraniol Metabolism to the Citrus Flavour of Beer: Synergy of Geraniol and β-Citronellol Under Coexistence with Excess Linalool[J]. Journal of the Institute of Brewing, 116(3): 251–260, 2010. DOI: 10.1002/j.2050-0416.2010.tb00428.x.</w:t>
      </w:r>
    </w:p>
    <w:p>
      <w:pPr>
        <w:pStyle w:val="ReferenceText"/>
        <w:ind w:left="369" w:hanging="369"/>
      </w:pPr>
      <w:r>
        <w:t>[7] Yu Zhang, Sinuo Li, Qi Meng, et al. Characterization of Key Odor-Active Compounds in Draft Beers for the Chinese Market Using Molecular Sensory Science Approaches[J]. Molecules, 29(11): 2537, 2024. DOI: 10.3390/molecules29112537.</w:t>
      </w:r>
    </w:p>
    <w:p>
      <w:pPr>
        <w:pStyle w:val="ReferenceText"/>
        <w:ind w:left="369" w:hanging="369"/>
      </w:pPr>
      <w:r>
        <w:t>[8] Ann Van Holle, Anita Van Landschoot, Isabel Roldán-Ruiz, et al. The brewing value of Amarillo hops (Humulus lupulus L.) grown in northwestern USA: A preliminary study of terroir significance[J]. Journal of the Institute of Brewing, 123(3): 312–318, 2017. DOI: 10.1002/jib.433.</w:t>
      </w:r>
    </w:p>
    <w:p>
      <w:pPr>
        <w:pStyle w:val="ReferenceText"/>
        <w:ind w:left="369" w:hanging="369"/>
      </w:pPr>
      <w:r>
        <w:t>[9] Kiyoshi Takoi, Haruna Kumamaru, Atsushi Tanigawa. Study on Characteristic Aroma in Special Beers Brewed with Coriander (Coriandrum sativum L.) Seeds: Profiling of Flavor Compounds Derived from Coriander Seeds in Different Growing Areas[J]. ACS Food Science &amp; Technology, 4(10): 2439–2447, 2024. DOI: 10.1021/acsfoodscitech.4c00579.</w:t>
      </w:r>
    </w:p>
    <w:p>
      <w:pPr>
        <w:pStyle w:val="ReferenceText"/>
        <w:ind w:left="369" w:hanging="369"/>
      </w:pPr>
      <w:r>
        <w:t>[10] Sophie Noël, Catherine Liégeois, Guillaume Lermusieau, et al. Release of Deuterated Nonenal during Beer Aging from Labeled Precursors Synthesized in the Boiling Kettle[J]. Journal of Agricultural and Food Chemistry, 47(10): 4323–4326, 1999. DOI: 10.1021/jf990211r.</w:t>
      </w:r>
    </w:p>
    <w:p>
      <w:pPr>
        <w:pStyle w:val="ReferenceText"/>
        <w:ind w:left="369" w:hanging="369"/>
      </w:pPr>
      <w:r>
        <w:t>[11] Heidi Hai-Ling Yang, Harry T. Lawless. Time–intensity characteristics of iron compounds[J]. Food Quality and Preference, 17(5): 337–343, 2006. DOI: 10.1016/j.foodqual.2005.04.002.</w:t>
      </w:r>
    </w:p>
    <w:p>
      <w:pPr>
        <w:pStyle w:val="ReferenceText"/>
        <w:ind w:left="369" w:hanging="369"/>
      </w:pPr>
      <w:r>
        <w:t>[12] Han Liu, John Lafferty, Larry Wasserman. The Nonparanormal: Semiparametric Estimation of High Dimensional Undirected Graphs[J]. Journal of Machine Learning Research, 10: 2295–2328, 2009. https://www.jmlr.org/papers/v10/liu09a.html，访问日期2026-10-23。</w:t>
      </w:r>
    </w:p>
    <w:p>
      <w:bookmarkStart w:id="1221" w:name="sec_221"/>
      <w:pPr>
        <w:pStyle w:val="2"/>
        <w:pageBreakBefore/>
      </w:pPr>
      <w:r>
        <w:t>附录A 感官字段及逐维精度</w:t>
      </w:r>
      <w:bookmarkEnd w:id="1221"/>
    </w:p>
    <w:p>
      <w:r>
        <w:t>表A-1列出第一问ExtraTrees的全部45维折外误差。A_前缀表示香气，F_前缀为相应风味；其余字段按附件字典保留。所有值均为附件标准化尺度，完整250×45折外预测随电子附录保存。</w:t>
      </w:r>
    </w:p>
    <w:p>
      <w:pPr>
        <w:pStyle w:val="Caption"/>
        <w:keepNext/>
        <w:jc w:val="center"/>
      </w:pPr>
      <w:r>
        <w:t>表A-1 全部感官维度的五折折外指标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402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目标字段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MAE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RMSE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R²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Spearman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0.4278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0.5503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0.4083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0.6341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0.3387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0.4497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0.0286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0.3432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0.4939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0.1042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0.3733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0.3791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0.5131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0.3298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0.5875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0.5678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0.3431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0.3943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0.5200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0.3773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0.6145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0.3286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0.4374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0.1892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0.4410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0.3423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0.5678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0.1331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0.3059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0.3459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0.4530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0.2832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0.5371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0.2653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0.3569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0.0640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0.2015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0.4397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0.5517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0.1592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0.3962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0.3752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0.4667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0.1207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0.3230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0.4169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0.5298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0.0298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0.1885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0.3128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0.4088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0.0674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0.2009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0.3577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0.5062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-0.0105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0.0158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0.3868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0.4900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0.4896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0.6906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0.3370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0.4385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0.0451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0.2367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0.3316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0.4334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0.2065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0.5242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0.3515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0.4731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0.3133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0.5737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0.5217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0.4152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0.6102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0.3944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0.4926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0.4943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0.7074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0.3012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0.3931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0.2292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0.4205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0.3062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0.4699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0.1467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0.3606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0.3717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0.4903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0.3564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0.5989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0.3080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0.4302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0.1411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0.4202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0.4027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0.5124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0.2280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0.4983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0.3354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0.4415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0.4940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0.3967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0.5458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0.0712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0.3302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0.2904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0.4123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0.1955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0.3370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0.4856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0.0732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0.2557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0.3025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0.4623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0.7088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0.4999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0.3709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0.4875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0.5534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0.7504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0.4324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0.5849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0.2583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0.5144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0.3964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0.5929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0.1689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0.5123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0.3674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0.4928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0.0883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0.2703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0.3708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0.4896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0.0388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0.2161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0.3604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0.4602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0.1028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0.3283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0.3062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0.4367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0.0181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0.1533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0.2960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0.3793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0.0989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0.2151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0.3411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0.6428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0.1122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0.2533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0.2411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0.4295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0.0961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0.1420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0.2521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0.5369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0.0749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0.3109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0.2093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0.4329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0.6519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0.4526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0.1939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0.4441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0.6460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0.3503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0.3099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0.4420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0.0278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0.1741</w:t>
            </w:r>
          </w:p>
        </w:tc>
      </w:tr>
    </w:tbl>
    <w:p>
      <w:pPr>
        <w:spacing w:after="60" w:line="72" w:lineRule="auto"/>
        <w:ind w:firstLine="0"/>
      </w:pPr>
    </w:p>
    <w:p>
      <w:bookmarkStart w:id="1224" w:name="sec_224"/>
      <w:pPr>
        <w:pStyle w:val="2"/>
        <w:pageBreakBefore/>
      </w:pPr>
      <w:r>
        <w:t>附录B 完整Top 3候选</w:t>
      </w:r>
      <w:bookmarkEnd w:id="1224"/>
    </w:p>
    <w:p>
      <w:r>
        <w:t>表B-1沿用绝对Spearman相关排名，不按文献证据后验改选。每项依次给出附件字段名、带符号相关ρ与Bootstrap入选频率π。化学名称、来源、单位、阈值及逐行证据等级见表B-2及电子附件chemical_evidence_final.csv；135个位置涉及60种不同化合物。</w:t>
      </w:r>
    </w:p>
    <w:p>
      <w:pPr>
        <w:pStyle w:val="Caption"/>
        <w:keepNext/>
        <w:jc w:val="center"/>
      </w:pPr>
      <w:r>
        <w:t>表B-1 45项感官的全部Top-3关联候选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438"/>
        <w:gridCol w:w="2438"/>
        <w:gridCol w:w="2438"/>
      </w:tblGrid>
      <w:tr>
        <w:trPr>
          <w:cantSplit/>
          <w:tblHeader/>
        </w:trPr>
        <w:tc>
          <w:tcPr>
            <w:tcW w:type="dxa" w:w="175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感官字段</w:t>
            </w:r>
          </w:p>
        </w:tc>
        <w:tc>
          <w:tcPr>
            <w:tcW w:type="dxa" w:w="243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第1项</w:t>
            </w:r>
          </w:p>
        </w:tc>
        <w:tc>
          <w:tcPr>
            <w:tcW w:type="dxa" w:w="243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第2项</w:t>
            </w:r>
          </w:p>
        </w:tc>
        <w:tc>
          <w:tcPr>
            <w:tcW w:type="dxa" w:w="243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第3项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ρ=0.361，π=0.565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methylpyrazine</w:t>
              <w:br/>
              <w:t>ρ=0.356，π=0.510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ρ=0.335，π=0.325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</w:t>
              <w:br/>
              <w:t>ρ=-0.265，π=0.620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ρ=-0.248，π=0.400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isoborneol</w:t>
              <w:br/>
              <w:t>ρ=-0.225，π=0.235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ρ=0.267，π=0.310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ρ=0.260，π=0.260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</w:t>
              <w:br/>
              <w:t>ρ=-0.250，π=0.270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ρ=0.350，π=0.520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X2.ethyl.1.hexanol</w:t>
              <w:br/>
              <w:t>ρ=-0.317，π=0.375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ρ=0.315，π=0.295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isobutanol</w:t>
              <w:br/>
              <w:t>ρ=0.249，π=0.350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DES</w:t>
              <w:br/>
              <w:t>ρ=0.243，π=0.320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ρ=0.239，π=0.310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ρ=0.464，π=0.785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X.E..2.nonenal</w:t>
              <w:br/>
              <w:t>ρ=0.432，π=0.440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ρ=0.428，π=0.410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citronellol</w:t>
              <w:br/>
              <w:t>ρ=0.370，π=0.590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humulene.epoxide.II</w:t>
              <w:br/>
              <w:t>ρ=0.357，π=0.515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linalool</w:t>
              <w:br/>
              <w:t>ρ=0.327，π=0.265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ρ=0.314，π=0.720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X3.furanmethanol</w:t>
              <w:br/>
              <w:t>ρ=-0.259，π=0.280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methyl.geranate</w:t>
              <w:br/>
              <w:t>ρ=0.256，π=0.255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ρ=0.482，π=0.925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ρ=0.469，π=0.900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X.E..2.nonenal</w:t>
              <w:br/>
              <w:t>ρ=0.409，π=0.340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trans.dihydro.alpha.terpinyl.acetate</w:t>
              <w:br/>
              <w:t>ρ=0.279，π=0.255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alpha.calacorene</w:t>
              <w:br/>
              <w:t>ρ=0.273，π=0.175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ethyl.tetradecanoate</w:t>
              <w:br/>
              <w:t>ρ=0.267，π=0.165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n.hexanol</w:t>
              <w:br/>
              <w:t>ρ=0.357，π=0.675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ρ=0.353，π=0.710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ρ=0.321，π=0.435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ρ=0.356，π=0.585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ρ=0.335，π=0.400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ρ=0.333，π=0.325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n.hexanol</w:t>
              <w:br/>
              <w:t>ρ=0.340，π=0.945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isopentyl_acetate</w:t>
              <w:br/>
              <w:t>ρ=0.283，π=0.650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isoamyl_alcohol</w:t>
              <w:br/>
              <w:t>ρ=0.223，π=0.145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ρ=0.196，π=0.280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isobutyl_acetate</w:t>
              <w:br/>
              <w:t>ρ=0.192，π=0.210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X1.alpha.terpineol</w:t>
              <w:br/>
              <w:t>ρ=0.184，π=0.155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ρ=0.232，π=0.485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eugenol</w:t>
              <w:br/>
              <w:t>ρ=0.193，π=0.210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ρ=0.186，π=0.180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ρ=0.472，π=0.960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ρ=0.471，π=0.935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MeSH</w:t>
              <w:br/>
              <w:t>ρ=0.356，π=0.190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isoborneol</w:t>
              <w:br/>
              <w:t>ρ=-0.276，π=0.540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terpinen.4.ol.acetate</w:t>
              <w:br/>
              <w:t>ρ=-0.256，π=0.295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X.E..beta.ionone</w:t>
              <w:br/>
              <w:t>ρ=-0.249，π=0.320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ρ=0.378，π=0.590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ρ=0.372，π=0.480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ρ=0.367，π=0.445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ρ=0.433，π=0.970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ρ=0.387，π=0.795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ethyl.butyrate</w:t>
              <w:br/>
              <w:t>ρ=0.309，π=0.190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ρ=0.431，π=0.900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MeSH</w:t>
              <w:br/>
              <w:t>ρ=0.403，π=0.690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ρ=0.364，π=0.320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ρ=0.501，π=0.745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X.E..2.nonenal</w:t>
              <w:br/>
              <w:t>ρ=0.456，π=0.315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ρ=0.453，π=0.295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humulene.epoxide.II</w:t>
              <w:br/>
              <w:t>ρ=0.285，π=0.355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ethyl.furoate</w:t>
              <w:br/>
              <w:t>ρ=-0.275，π=0.365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furfural</w:t>
              <w:br/>
              <w:t>ρ=-0.274，π=0.285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geraniol</w:t>
              <w:br/>
              <w:t>ρ=0.285，π=0.445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hexyl.acetate</w:t>
              <w:br/>
              <w:t>ρ=0.281，π=0.420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ρ=0.275，π=0.450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ρ=0.505，π=0.970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ρ=0.458，π=0.600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ρ=0.434，π=0.335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ethyl.tetradecanoate</w:t>
              <w:br/>
              <w:t>ρ=0.346，π=0.460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ρ=0.342，π=0.390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humulene.epoxide.II</w:t>
              <w:br/>
              <w:t>ρ=0.326，π=0.180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ρ=0.404，π=0.780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ρ=0.380，π=0.675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n.hexanol</w:t>
              <w:br/>
              <w:t>ρ=0.376，π=0.465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ρ=0.503，π=0.980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ρ=0.466，π=0.885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ρ=0.443，π=0.630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n.hexanol</w:t>
              <w:br/>
              <w:t>ρ=0.305，π=0.675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isopentyl_acetate</w:t>
              <w:br/>
              <w:t>ρ=0.274，π=0.465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</w:t>
              <w:br/>
              <w:t>ρ=0.244，π=0.235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ρ=0.234，π=0.550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isopentyl.butanoate</w:t>
              <w:br/>
              <w:t>ρ=-0.201，π=0.280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terpinolene</w:t>
              <w:br/>
              <w:t>ρ=0.177，π=0.150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DES</w:t>
              <w:br/>
              <w:t>ρ=-0.292，π=0.740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acetic_acid.g.L.</w:t>
              <w:br/>
              <w:t>ρ=0.244，π=0.325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humulene.epoxide.II</w:t>
              <w:br/>
              <w:t>ρ=-0.234，π=0.235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prenyl.isobutyrate</w:t>
              <w:br/>
              <w:t>ρ=0.435，π=0.565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ethyl.phenylacetate</w:t>
              <w:br/>
              <w:t>ρ=0.430，π=0.470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perillyl.acetate</w:t>
              <w:br/>
              <w:t>ρ=0.417，π=0.330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ρ=0.593，π=0.985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ρ=0.559，π=0.720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MeSH</w:t>
              <w:br/>
              <w:t>ρ=0.511，π=0.285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ρ=-0.391，π=0.570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pentyl.octanoate</w:t>
              <w:br/>
              <w:t>ρ=-0.363，π=0.490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iron</w:t>
              <w:br/>
              <w:t>ρ=0.359，π=0.465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  <w:br/>
              <w:t>ρ=0.473，π=0.875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delta.terpinyl.acetate</w:t>
              <w:br/>
              <w:t>ρ=0.399，π=0.450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neryl.formate</w:t>
              <w:br/>
              <w:t>ρ=-0.383，π=0.285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eugenol</w:t>
              <w:br/>
              <w:t>ρ=-0.323，π=0.690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ρ=-0.283，π=0.410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alpha.calacorene</w:t>
              <w:br/>
              <w:t>ρ=-0.275，π=0.285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</w:t>
              <w:br/>
              <w:t>ρ=-0.196，π=0.190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E.nerolidol</w:t>
              <w:br/>
              <w:t>ρ=0.194，π=0.200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car.3.en.2.one</w:t>
              <w:br/>
              <w:t>ρ=0.186，π=0.180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ρ=-0.250，π=0.350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iron</w:t>
              <w:br/>
              <w:t>ρ=0.244，π=0.305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X6.methyl.5.hepten.2.one</w:t>
              <w:br/>
              <w:t>ρ=-0.237，π=0.210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X2.undecanol</w:t>
              <w:br/>
              <w:t>ρ=0.300，π=0.645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alloaromadendrene.epoxide</w:t>
              <w:br/>
              <w:t>ρ=0.278，π=0.445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neryl.formate</w:t>
              <w:br/>
              <w:t>ρ=0.270，π=0.265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ρ=-0.214，π=0.270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</w:t>
              <w:br/>
              <w:t>ρ=-0.204，π=0.160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geraniol</w:t>
              <w:br/>
              <w:t>ρ=-0.201，π=0.250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camphor</w:t>
              <w:br/>
              <w:t>ρ=0.367，π=0.865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limonene</w:t>
              <w:br/>
              <w:t>ρ=0.296，π=0.380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ρ=-0.292，π=0.315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X2.methyl.benzofuran</w:t>
              <w:br/>
              <w:t>ρ=0.238，π=0.240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E.ocimenone</w:t>
              <w:br/>
              <w:t>ρ=0.236，π=0.205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terpinen.4.ol</w:t>
              <w:br/>
              <w:t>ρ=0.235，π=0.190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limonene</w:t>
              <w:br/>
              <w:t>ρ=0.342，π=0.915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eucalyptol</w:t>
              <w:br/>
              <w:t>ρ=0.236，π=0.285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camphor</w:t>
              <w:br/>
              <w:t>ρ=0.206，π=0.115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ρ=0.448，π=0.550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perillyl.acetate</w:t>
              <w:br/>
              <w:t>ρ=0.443，π=0.525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prenyl.isobutyrate</w:t>
              <w:br/>
              <w:t>ρ=0.429，π=0.360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prenyl.isobutyrate</w:t>
              <w:br/>
              <w:t>ρ=0.406，π=0.685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ρ=0.391，π=0.470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ethyl.phenylacetate</w:t>
              <w:br/>
              <w:t>ρ=0.385，π=0.370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X2.undecanol</w:t>
              <w:br/>
              <w:t>ρ=0.285，π=0.545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neryl.formate</w:t>
              <w:br/>
              <w:t>ρ=0.280，π=0.375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alloaromadendrene.epoxide</w:t>
              <w:br/>
              <w:t>ρ=0.266，π=0.340</w:t>
            </w:r>
          </w:p>
        </w:tc>
      </w:tr>
    </w:tbl>
    <w:p>
      <w:pPr>
        <w:spacing w:after="60" w:line="72" w:lineRule="auto"/>
        <w:ind w:firstLine="0"/>
      </w:pPr>
    </w:p>
    <w:p>
      <w:r>
        <w:t>表B-2给出每个候选的化学名称、附件来源、量纲及文献支持范围。阈值只用于对应的校准浓度；空缺阈值不补造。一般背景与间接关联均不视为目标感官机制已经证实。</w:t>
      </w:r>
    </w:p>
    <w:p>
      <w:pPr>
        <w:pStyle w:val="Caption"/>
        <w:keepNext/>
        <w:jc w:val="center"/>
      </w:pPr>
      <w:r>
        <w:t>表B-2 完整候选的化学信息及证据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154"/>
        <w:gridCol w:w="1984"/>
        <w:gridCol w:w="3515"/>
      </w:tblGrid>
      <w:tr>
        <w:trPr>
          <w:cantSplit/>
          <w:tblHeader/>
        </w:trPr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感官与名次</w:t>
            </w:r>
          </w:p>
        </w:tc>
        <w:tc>
          <w:tcPr>
            <w:tcW w:type="dxa" w:w="215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化合物</w:t>
            </w:r>
          </w:p>
        </w:tc>
        <w:tc>
          <w:tcPr>
            <w:tcW w:type="dxa" w:w="198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来源与量纲</w:t>
            </w:r>
          </w:p>
        </w:tc>
        <w:tc>
          <w:tcPr>
            <w:tcW w:type="dxa" w:w="351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依据及适用范围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正己醇</w:t>
              <w:br/>
              <w:t>n.hexanol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鲜啤GC-O/AEDA检出有气味活性的正己醇，嗅闻描述为山楂样。</w:t>
              <w:br/>
              <w:t>可补充果香背景，未检验本行香蕉香或酯类评分的直接来源。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乙酸乙酯</w:t>
              <w:br/>
              <w:t>ethyl_acetate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均值24；中位23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[1];[4]</w:t>
              <w:br/>
              <w:t>乙酸乙酯具有果香/溶剂样气味；啤酒加标亦显示其改变部分缺陷感知。</w:t>
              <w:br/>
              <w:t>气味与酯类/指甲油样描述相符，但不验证本样本相关系数或单独剂量效应。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乙酸乙酯</w:t>
              <w:br/>
              <w:t>ethyl_acetate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均值24；中位23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[1];[4]</w:t>
              <w:br/>
              <w:t>乙酸乙酯具有果香/溶剂样气味；啤酒加标亦显示其改变部分缺陷感知。</w:t>
              <w:br/>
              <w:t>气味与酯类/指甲油样描述相符，但不验证本样本相关系数或单独剂量效应。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Beta-phellandrene</w:t>
              <w:br/>
              <w:t>beta.phellandrene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乙酸异丁酯</w:t>
              <w:br/>
              <w:t>isobutyl_acetate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均值1；中位1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α-松油醇</w:t>
              <w:br/>
              <w:t>X1.alpha.terpineol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酒花；mg/L</w:t>
              <w:br/>
              <w:t>均值1.5；中位1.5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Beta-phellandrene</w:t>
              <w:br/>
              <w:t>beta.phellandrene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丁香酚</w:t>
              <w:br/>
              <w:t>eugenol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香辛料；mg/L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乳酸</w:t>
              <w:br/>
              <w:t>lactic_acid.mg.L.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野生菌群；mg/L</w:t>
              <w:br/>
              <w:t>均值416.667；中位400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原研究说明乳酸贡献酸啤酒的酸味。</w:t>
              <w:br/>
              <w:t>支持酸感官背景；非本行果香等其他描述的直接来源证明。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正己醇</w:t>
              <w:br/>
              <w:t>n.hexanol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鲜啤GC-O/AEDA检出有气味活性的正己醇，嗅闻描述为山楂样。</w:t>
              <w:br/>
              <w:t>可补充果香背景，未检验本行香蕉香或酯类评分的直接来源。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乙酸异戊酯</w:t>
              <w:br/>
              <w:t>isopentyl_acetate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均值0.603333；中位0.6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[5]</w:t>
              <w:br/>
              <w:t>GC-O/MS将乙酸异戊酯的气味标为香蕉。</w:t>
              <w:br/>
              <w:t>相同气味描述的定性依据，非本样本关联的干预验证。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异戊醇</w:t>
              <w:br/>
              <w:t>isoamyl_alcohol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均值40.015；中位45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辛酸乙酯</w:t>
              <w:br/>
              <w:t>ethyl_octanoate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均值0.7；中位0.75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[1];[5]</w:t>
              <w:br/>
              <w:t>GC-O/MS报告果香/胶样气味；原研究报告同酒花感知和苦味的意外关联。</w:t>
              <w:br/>
              <w:t>原研究与本题共享数据，非独立重复；未证明该酯直接产生酒花香或苦味。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反式-2-壬烯醛</w:t>
              <w:br/>
              <w:t>X.E..2.nonenal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[10]</w:t>
              <w:br/>
              <w:t>同位素研究支持老化期间反式-2-壬烯醛释放与纸板味相关。</w:t>
              <w:br/>
              <w:t>本行目标为酒花感官，不能由纸板味证据解释其正相关，也不能与Stale hops等同。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香茅醇</w:t>
              <w:br/>
              <w:t>citronellol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酒花；mg/L</w:t>
              <w:br/>
              <w:t>均值0.0245；中位0.0245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[6]</w:t>
              <w:br/>
              <w:t>香叶醇、香茅醇与芳樟醇在啤酒中具有果香/柑橘协同；芳樟醇亦有GC-O花香/柑橘依据。</w:t>
              <w:br/>
              <w:t>三组分交互依赖基质；不支持其他目标（如t2n）的直接抑制机制。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 epoxide II</w:t>
              <w:br/>
              <w:t>humulene.epoxide.II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芳樟醇</w:t>
              <w:br/>
              <w:t>linalool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酒花；mg/L</w:t>
              <w:br/>
              <w:t>均值0.027285；中位0.0045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[6];[5]</w:t>
              <w:br/>
              <w:t>香叶醇、香茅醇与芳樟醇在啤酒中具有果香/柑橘协同；芳樟醇亦有GC-O花香/柑橘依据。</w:t>
              <w:br/>
              <w:t>三组分交互依赖基质；不支持其他目标（如t2n）的直接抑制机制。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辛酸乙酯</w:t>
              <w:br/>
              <w:t>ethyl_octanoate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均值0.7；中位0.75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[1];[5]</w:t>
              <w:br/>
              <w:t>GC-O/MS报告果香/胶样气味；原研究报告同酒花感知和苦味的意外关联。</w:t>
              <w:br/>
              <w:t>原研究与本题共享数据，非独立重复；未证明该酯直接产生酒花香或苦味。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反式-2-壬烯醛</w:t>
              <w:br/>
              <w:t>X.E..2.nonenal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[10]</w:t>
              <w:br/>
              <w:t>同位素研究支持老化期间反式-2-壬烯醛释放与纸板味相关。</w:t>
              <w:br/>
              <w:t>本行目标为酒花感官，不能由纸板味证据解释其正相关，也不能与Stale hops等同。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二甲基硫醚</w:t>
              <w:br/>
              <w:t>DMS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麦芽；μg/L</w:t>
              <w:br/>
              <w:t>均值17.25；中位19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[4]</w:t>
              <w:br/>
              <w:t>DMS具有卷心菜样气味，其感知受乙酸酯和芳樟醇改变。</w:t>
              <w:br/>
              <w:t>没有直接验证DMS导致本行热带酒花感官。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3-furanmethanol</w:t>
              <w:br/>
              <w:t>X3.furanmethanol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麦芽；未给出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 geranate</w:t>
              <w:br/>
              <w:t>methyl.geranate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Trans-dihydro-α-terpinyl acetate</w:t>
              <w:br/>
              <w:t>trans.dihydro.alpha.terpinyl.acetate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α-calacorene</w:t>
              <w:br/>
              <w:t>alpha.calacorene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 tetradecanoate</w:t>
              <w:br/>
              <w:t>ethyl.tetradecanoate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Methylpyrazine</w:t>
              <w:br/>
              <w:t>methylpyrazine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麦芽；mg/L</w:t>
              <w:br/>
              <w:t>均值1；中位1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甘油</w:t>
              <w:br/>
              <w:t>glycerol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酵母；g/L</w:t>
              <w:br/>
              <w:t>均值4.43333；中位2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松油烯-4-醇</w:t>
              <w:br/>
              <w:t>terpinen.4.ol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异丁醇</w:t>
              <w:br/>
              <w:t>isobutanol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均值80；中位100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二乙基硫醚</w:t>
              <w:br/>
              <w:t>DES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酵母；μg/L</w:t>
              <w:br/>
              <w:t>均值1.2；中位1.2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2-乙基-1-己醇</w:t>
              <w:br/>
              <w:t>X2.ethyl.1.hexanol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松油烯-4-醇</w:t>
              <w:br/>
              <w:t>terpinen.4.ol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Beta-phellandrene</w:t>
              <w:br/>
              <w:t>beta.phellandrene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异龙脑</w:t>
              <w:br/>
              <w:t>isoborneol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乙酸乙酯</w:t>
              <w:br/>
              <w:t>ethyl_acetate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均值24；中位23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[1];[4]</w:t>
              <w:br/>
              <w:t>乙酸乙酯具有果香/溶剂样气味；啤酒加标亦显示其改变部分缺陷感知。</w:t>
              <w:br/>
              <w:t>气味与酯类/指甲油样描述相符，但不验证本样本相关系数或单独剂量效应。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正己醇</w:t>
              <w:br/>
              <w:t>n.hexanol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鲜啤GC-O/AEDA检出有气味活性的正己醇，嗅闻描述为山楂样。</w:t>
              <w:br/>
              <w:t>可补充果香背景，未检验本行香蕉香或酯类评分的直接来源。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乙酸乙酯</w:t>
              <w:br/>
              <w:t>ethyl_acetate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均值24；中位23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[1];[4]</w:t>
              <w:br/>
              <w:t>乙酸乙酯具有果香/溶剂样气味；啤酒加标亦显示其改变部分缺陷感知。</w:t>
              <w:br/>
              <w:t>气味与酯类/指甲油样描述相符，但不验证本样本相关系数或单独剂量效应。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甘油</w:t>
              <w:br/>
              <w:t>glycerol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酵母；g/L</w:t>
              <w:br/>
              <w:t>均值4.43333；中位2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Beta-phellandrene</w:t>
              <w:br/>
              <w:t>beta.phellandrene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Isopentyl butanoate</w:t>
              <w:br/>
              <w:t>isopentyl.butanoate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Terpinolene</w:t>
              <w:br/>
              <w:t>terpinolene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二乙基硫醚</w:t>
              <w:br/>
              <w:t>DES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酵母；μg/L</w:t>
              <w:br/>
              <w:t>均值1.2；中位1.2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</w:t>
              <w:br/>
              <w:t>acetic_acid.g.L.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野生菌群；g/L</w:t>
              <w:br/>
              <w:t>均值0.14025；中位0.145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[5]</w:t>
              <w:br/>
              <w:t>啤酒GC-O/MS报告乙酸的酸气味。</w:t>
              <w:br/>
              <w:t>不验证本行酯类果味的直接产生机制。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 epoxide II</w:t>
              <w:br/>
              <w:t>humulene.epoxide.II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正己醇</w:t>
              <w:br/>
              <w:t>n.hexanol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鲜啤GC-O/AEDA检出有气味活性的正己醇，嗅闻描述为山楂样。</w:t>
              <w:br/>
              <w:t>可补充果香背景，未检验本行香蕉香或酯类评分的直接来源。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乙酸异戊酯</w:t>
              <w:br/>
              <w:t>isopentyl_acetate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均值0.603333；中位0.6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[5]</w:t>
              <w:br/>
              <w:t>GC-O/MS将乙酸异戊酯的气味标为香蕉。</w:t>
              <w:br/>
              <w:t>相同气味描述的定性依据，非本样本关联的干预验证。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辛酸乙酯</w:t>
              <w:br/>
              <w:t>ethyl_octanoate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均值0.7；中位0.75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[1];[5]</w:t>
              <w:br/>
              <w:t>GC-O/MS报告果香/胶样气味；原研究报告同酒花感知和苦味的意外关联。</w:t>
              <w:br/>
              <w:t>原研究与本题共享数据，非独立重复；未证明该酯直接产生酒花香或苦味。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反式-2-壬烯醛</w:t>
              <w:br/>
              <w:t>X.E..2.nonenal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[10]</w:t>
              <w:br/>
              <w:t>同位素研究支持老化期间反式-2-壬烯醛释放与纸板味相关。</w:t>
              <w:br/>
              <w:t>本行目标为酒花感官，不能由纸板味证据解释其正相关，也不能与Stale hops等同。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 epoxide II</w:t>
              <w:br/>
              <w:t>humulene.epoxide.II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呋喃甲酸乙酯</w:t>
              <w:br/>
              <w:t>ethyl.furoate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麦芽；未给出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糠醛</w:t>
              <w:br/>
              <w:t>furfural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麦芽；mg/L</w:t>
              <w:br/>
              <w:t>均值60；中位37.5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辛酸乙酯</w:t>
              <w:br/>
              <w:t>ethyl_octanoate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均值0.7；中位0.75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[1];[5]</w:t>
              <w:br/>
              <w:t>GC-O/MS报告果香/胶样气味；原研究报告同酒花感知和苦味的意外关联。</w:t>
              <w:br/>
              <w:t>原研究与本题共享数据，非独立重复；未证明该酯直接产生酒花香或苦味。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香叶醇</w:t>
              <w:br/>
              <w:t>geraniol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酒花；mg/L</w:t>
              <w:br/>
              <w:t>均值0.0315；中位0.023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[6]</w:t>
              <w:br/>
              <w:t>香叶醇、香茅醇与芳樟醇在啤酒中具有果香/柑橘协同；芳樟醇亦有GC-O花香/柑橘依据。</w:t>
              <w:br/>
              <w:t>三组分交互依赖基质；不支持其他目标（如t2n）的直接抑制机制。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乙酸己酯</w:t>
              <w:br/>
              <w:t>hexyl.acetate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二甲基硫醚</w:t>
              <w:br/>
              <w:t>DMS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麦芽；μg/L</w:t>
              <w:br/>
              <w:t>均值17.25；中位19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[4]</w:t>
              <w:br/>
              <w:t>DMS具有卷心菜样气味，其感知受乙酸酯和芳樟醇改变。</w:t>
              <w:br/>
              <w:t>没有直接验证DMS导致本行热带酒花感官。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 tetradecanoate</w:t>
              <w:br/>
              <w:t>ethyl.tetradecanoate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Humulene epoxide II</w:t>
              <w:br/>
              <w:t>humulene.epoxide.II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甲硫醇</w:t>
              <w:br/>
              <w:t>MeSH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酵母；μg/L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原研究描述甲硫醇在高浓度下呈硫臭、腐烂卷心菜样气味。</w:t>
              <w:br/>
              <w:t>未证明本行麦芽或苦味由甲硫醇直接产生；来源与本题共享数据。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甘油</w:t>
              <w:br/>
              <w:t>glycerol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酵母；g/L</w:t>
              <w:br/>
              <w:t>均值4.43333；中位2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甲硫醇</w:t>
              <w:br/>
              <w:t>MeSH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酵母；μg/L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原研究描述甲硫醇在高浓度下呈硫臭、腐烂卷心菜样气味。</w:t>
              <w:br/>
              <w:t>未证明本行麦芽或苦味由甲硫醇直接产生；来源与本题共享数据。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甘油</w:t>
              <w:br/>
              <w:t>glycerol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酵母；g/L</w:t>
              <w:br/>
              <w:t>均值4.43333；中位2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乙醛</w:t>
              <w:br/>
              <w:t>acetaldehyde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酵母；mg/L</w:t>
              <w:br/>
              <w:t>均值50；中位50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[7]</w:t>
              <w:br/>
              <w:t>鲜啤感官实验以乙醛作生青味训练标准。</w:t>
              <w:br/>
              <w:t>该训练标准未验证乙醛对本行麦芽、焦糖或酯香描述的直接作用。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丁酸乙酯</w:t>
              <w:br/>
              <w:t>ethyl.butyrate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均值0.45；中位0.45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[5]</w:t>
              <w:br/>
              <w:t>GC-O/MS对3-甲基丁酸乙酯及丁酸乙酯报告果香/甜果香描述。</w:t>
              <w:br/>
              <w:t>不验证本行醋酸、金属或麦芽焦糖感官的直接作用。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异龙脑</w:t>
              <w:br/>
              <w:t>isoborneol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Terpinen-4-ol acetate</w:t>
              <w:br/>
              <w:t>terpinen.4.ol.acetate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反式-β-紫罗兰酮</w:t>
              <w:br/>
              <w:t>X.E..beta.ionone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4-乙烯基愈创木酚</w:t>
              <w:br/>
              <w:t>X4VG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均值0.206333；中位0.2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[5]</w:t>
              <w:br/>
              <w:t>啤酒GC-O/MS识别4-乙烯基愈创木酚为丁香样气味。</w:t>
              <w:br/>
              <w:t>定性气味依据，不代表预测关系或统一风格阈值已验证。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Terpiryl acetate</w:t>
              <w:br/>
              <w:t>delta.terpinyl.acetate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 formate</w:t>
              <w:br/>
              <w:t>neryl.formate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 isobutyrate</w:t>
              <w:br/>
              <w:t>prenyl.isobutyrate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异戊酸乙酯</w:t>
              <w:br/>
              <w:t>ethyl_isovalerate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均值0.1；中位0.1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[5]</w:t>
              <w:br/>
              <w:t>GC-O/MS对3-甲基丁酸乙酯及丁酸乙酯报告果香/甜果香描述。</w:t>
              <w:br/>
              <w:t>不验证本行醋酸、金属或麦芽焦糖感官的直接作用。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苯乙酸乙酯</w:t>
              <w:br/>
              <w:t>ethyl.phenylacetate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 isobutyrate</w:t>
              <w:br/>
              <w:t>prenyl.isobutyrate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苯乙酸乙酯</w:t>
              <w:br/>
              <w:t>ethyl.phenylacetate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Perillyl acetate</w:t>
              <w:br/>
              <w:t>perillyl.acetate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2-十一醇</w:t>
              <w:br/>
              <w:t>X2.undecanol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 formate</w:t>
              <w:br/>
              <w:t>neryl.formate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Allo-aromadendrene epoxide</w:t>
              <w:br/>
              <w:t>alloaromadendrene.epoxide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辛酸乙酯</w:t>
              <w:br/>
              <w:t>ethyl_octanoate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均值0.7；中位0.75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[1];[5]</w:t>
              <w:br/>
              <w:t>GC-O/MS报告果香/胶样气味；原研究报告同酒花感知和苦味的意外关联。</w:t>
              <w:br/>
              <w:t>原研究与本题共享数据，非独立重复；未证明该酯直接产生酒花香或苦味。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甲硫醇</w:t>
              <w:br/>
              <w:t>MeSH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酵母；μg/L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原研究描述甲硫醇在高浓度下呈硫臭、腐烂卷心菜样气味。</w:t>
              <w:br/>
              <w:t>未证明本行麦芽或苦味由甲硫醇直接产生；来源与本题共享数据。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柠檬烯</w:t>
              <w:br/>
              <w:t>limonene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[8]</w:t>
              <w:br/>
              <w:t>Amarillo单酒花酿造对照中，柠檬烯等萜类与柑橘/花香谱共同变化。</w:t>
              <w:br/>
              <w:t>非柠檬烯单体加标，不支持丁香机制，也未隔离本行橙味效应。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桉叶油醇</w:t>
              <w:br/>
              <w:t>eucalyptol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樟脑</w:t>
              <w:br/>
              <w:t>camphor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[9]</w:t>
              <w:br/>
              <w:t>芫荽啤酒实验检出樟脑，并报告其与过量芳樟醇下的花香协同。</w:t>
              <w:br/>
              <w:t>混合物花香不等于单体橙味或丁香味；本行关联仍未获直接验证。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2-methyl-benzofuran</w:t>
              <w:br/>
              <w:t>X2.methyl.benzofuran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麦芽；未给出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Ocimenone</w:t>
              <w:br/>
              <w:t>E.ocimenone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松油烯-4-醇</w:t>
              <w:br/>
              <w:t>terpinen.4.ol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丁香酚</w:t>
              <w:br/>
              <w:t>eugenol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香辛料；mg/L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α-calacorene</w:t>
              <w:br/>
              <w:t>alpha.calacorene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松油烯-4-醇</w:t>
              <w:br/>
              <w:t>terpinen.4.ol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反式橙花叔醇</w:t>
              <w:br/>
              <w:t>E.nerolidol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Car-3-en-2-one</w:t>
              <w:br/>
              <w:t>car.3.en.2.one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乳酸</w:t>
              <w:br/>
              <w:t>lactic_acid.mg.L.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野生菌群；mg/L</w:t>
              <w:br/>
              <w:t>均值416.667；中位400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直接气味依据 [1]</w:t>
              <w:br/>
              <w:t>原研究说明乳酸贡献酸啤酒的酸味。</w:t>
              <w:br/>
              <w:t>支持酸感官背景；非本行果香等其他描述的直接来源证明。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Perillyl acetate</w:t>
              <w:br/>
              <w:t>perillyl.acetate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Prenyl isobutyrate</w:t>
              <w:br/>
              <w:t>prenyl.isobutyrate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异戊酸乙酯</w:t>
              <w:br/>
              <w:t>ethyl_isovalerate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均值0.1；中位0.1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[5]</w:t>
              <w:br/>
              <w:t>GC-O/MS对3-甲基丁酸乙酯及丁酸乙酯报告果香/甜果香描述。</w:t>
              <w:br/>
              <w:t>不验证本行醋酸、金属或麦芽焦糖感官的直接作用。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铁（总量字段）</w:t>
              <w:br/>
              <w:t>iron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均值0.1；中位0.1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[11]</w:t>
              <w:br/>
              <w:t>二价铁盐溶液的时间—强度实验观察到持续金属感。</w:t>
              <w:br/>
              <w:t>盐种、价态、基质与啤酒总铁不同；只作背景，不外推阈值或甜味机制。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 heptenone</w:t>
              <w:br/>
              <w:t>X6.methyl.5.hepten.2.one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樟脑</w:t>
              <w:br/>
              <w:t>camphor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[9]</w:t>
              <w:br/>
              <w:t>芫荽啤酒实验检出樟脑，并报告其与过量芳樟醇下的花香协同。</w:t>
              <w:br/>
              <w:t>混合物花香不等于单体橙味或丁香味；本行关联仍未获直接验证。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柠檬烯</w:t>
              <w:br/>
              <w:t>limonene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[8]</w:t>
              <w:br/>
              <w:t>Amarillo单酒花酿造对照中，柠檬烯等萜类与柑橘/花香谱共同变化。</w:t>
              <w:br/>
              <w:t>非柠檬烯单体加标，不支持丁香机制，也未隔离本行橙味效应。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乙醇</w:t>
              <w:br/>
              <w:t>ethanol..v.v.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酵母；v/v</w:t>
              <w:br/>
              <w:t>均值1.75726；中位1.7372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间接关联 [1]</w:t>
              <w:br/>
              <w:t>原研究将酯类及多种醇类作为共同发酵来源讨论；可形成工艺/风格共变标记。</w:t>
              <w:br/>
              <w:t>间接共变解释，不证明本行麦芽或酯类具体气味由该物质直接产生。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2-十一醇</w:t>
              <w:br/>
              <w:t>X2.undecanol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Allo-aromadendrene epoxide</w:t>
              <w:br/>
              <w:t>alloaromadendrene.epoxide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Neryl formate</w:t>
              <w:br/>
              <w:t>neryl.formate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癸酸乙酯</w:t>
              <w:br/>
              <w:t>ethyl_decanoate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酵母；mg/L</w:t>
              <w:br/>
              <w:t>均值1.035；中位1.035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[1]</w:t>
              <w:br/>
              <w:t>原研究报告癸酸乙酯同其他发酵产物共变，并讨论同酒花感知和苦味的关联。</w:t>
              <w:br/>
              <w:t>同源数据的背景说明，非独立的直接气味/抑制机制验证。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Pentyl octanoate</w:t>
              <w:br/>
              <w:t>pentyl.octanoate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酵母；未给出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铁（总量字段）</w:t>
              <w:br/>
              <w:t>iron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其他；mg/L</w:t>
              <w:br/>
              <w:t>均值0.1；中位0.1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[11]</w:t>
              <w:br/>
              <w:t>二价铁盐溶液的时间—强度实验观察到持续金属感。</w:t>
              <w:br/>
              <w:t>盐种、价态、基质与啤酒总铁不同；只作背景，不外推阈值或甜味机制。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  <w:br/>
              <w:t>第1项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Beta-phellandrene</w:t>
              <w:br/>
              <w:t>beta.phellandrene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酒花；未给出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  <w:br/>
              <w:t>第2项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松油烯-4-醇</w:t>
              <w:br/>
              <w:t>terpinen.4.ol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香辛料；未给出</w:t>
              <w:br/>
              <w:t>均值未给出；中位未给出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 xml:space="preserve">尚未证实 </w:t>
              <w:br/>
              <w:t>本次核实文献未提供该化合物—感官项的直接证据。</w:t>
              <w:br/>
              <w:t>仅保留统计候选，不作直接机制解释。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  <w:br/>
              <w:t>第3项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香叶醇</w:t>
              <w:br/>
              <w:t>geraniol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酒花；mg/L</w:t>
              <w:br/>
              <w:t>均值0.0315；中位0.023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一般背景 [6]</w:t>
              <w:br/>
              <w:t>香叶醇、香茅醇与芳樟醇在啤酒中具有果香/柑橘协同；芳樟醇亦有GC-O花香/柑橘依据。</w:t>
              <w:br/>
              <w:t>三组分交互依赖基质；不支持其他目标（如t2n）的直接抑制机制。</w:t>
            </w:r>
          </w:p>
        </w:tc>
      </w:tr>
    </w:tbl>
    <w:p>
      <w:pPr>
        <w:spacing w:after="60" w:line="72" w:lineRule="auto"/>
        <w:ind w:firstLine="0"/>
      </w:pPr>
    </w:p>
    <w:p>
      <w:r>
        <w:t>表B-3给出218项化学候选中的预测依赖前三，各项标出平均ΔMSE与正值折数。J为与原边际相关前三的Jaccard；原表B-1保持不变。完整231项置换结果、五折相关模块及分层Bootstrap结果随支撑材料保存。</w:t>
      </w:r>
    </w:p>
    <w:p>
      <w:pPr>
        <w:pStyle w:val="Caption"/>
        <w:keepNext/>
        <w:jc w:val="center"/>
      </w:pPr>
      <w:r>
        <w:t>表B-3 全部感官的折外置换候选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268"/>
        <w:gridCol w:w="2268"/>
        <w:gridCol w:w="2268"/>
        <w:gridCol w:w="680"/>
      </w:tblGrid>
      <w:tr>
        <w:trPr>
          <w:cantSplit/>
          <w:tblHeader/>
        </w:trPr>
        <w:tc>
          <w:tcPr>
            <w:tcW w:type="dxa" w:w="158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感官</w:t>
            </w:r>
          </w:p>
        </w:tc>
        <w:tc>
          <w:tcPr>
            <w:tcW w:type="dxa" w:w="226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置换第1项</w:t>
            </w:r>
          </w:p>
        </w:tc>
        <w:tc>
          <w:tcPr>
            <w:tcW w:type="dxa" w:w="226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第2项</w:t>
            </w:r>
          </w:p>
        </w:tc>
        <w:tc>
          <w:tcPr>
            <w:tcW w:type="dxa" w:w="226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第3项</w:t>
            </w:r>
          </w:p>
        </w:tc>
        <w:tc>
          <w:tcPr>
            <w:tcW w:type="dxa" w:w="68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J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Δ=0.0103；4/5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Δ=0.00403；4/5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Δ=0.00341；5/5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A_malt_grain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Δ=0.00156；5/5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Δ=0.00101；4/5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CS2</w:t>
              <w:br/>
              <w:t>Δ=0.000621；4/5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A_malt_bread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Δ=0.00263；4/5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E.cinnamaldehyde</w:t>
              <w:br/>
              <w:t>Δ=0.00115；4/5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Δ=0.00101；3/5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A_malt_cara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Δ=0.00581；4/5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Δ=0.00329；4/5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Δ=0.00199；4/5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A_malt_burn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Δ=0.00845；5/5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alpha.muurolol</w:t>
              <w:br/>
              <w:t>Δ=0.00216；4/5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ethyl.furoate</w:t>
              <w:br/>
              <w:t>Δ=0.00192；4/5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Δ=0.0221；5/5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Δ=0.0117；5/5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Δ=0.00838；5/5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A_hops_citrus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Δ=0.0044；4/5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Δ=0.00143；3/5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Δ=0.00132；4/5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A_hops_tropical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Δ=0.0123；5/5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Δ=0.0093；4/5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isopentyl.butanoate</w:t>
              <w:br/>
              <w:t>Δ=0.00354；5/5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A_hops_noble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Δ=0.0103；5/5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Δ=0.00527；5/5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Δ=0.00378；5/5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A_hops_woody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Δ=0.00252；5/5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Δ=0.000737；2/5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X1.octen.3.ol</w:t>
              <w:br/>
              <w:t>Δ=0.000352；5/5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Δ=0.00411；5/5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ethyl_decanoate</w:t>
              <w:br/>
              <w:t>Δ=0.00157；4/5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Δ=0.00146；4/5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A_esters_ethac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Δ=0.00124；4/5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X2E.6Z.farnesal</w:t>
              <w:br/>
              <w:t>Δ=0.000951；4/5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Δ=0.000707；5/5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A_esters_isoaa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Δ=0.00188；4/5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Δ=0.00178；5/5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ethyl.hexadecanoate</w:t>
              <w:br/>
              <w:t>Δ=0.00133；3/5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A_esters_flower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Δ=0.00192；5/5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X4.ethyl.guaiacol</w:t>
              <w:br/>
              <w:t>Δ=0.00115；4/5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Δ=0.00103；3/5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A_esters_fruity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Δ=0.00227；5/5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Δ=0.000667；3/5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X.E..alpha.ionone</w:t>
              <w:br/>
              <w:t>Δ=0.000477；3/5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Δ=0.0179；5/5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Δ=0.00538；4/5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X4.ethyl.guaiacol</w:t>
              <w:br/>
              <w:t>Δ=0.00395；4/5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F_malt_grain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Δ=0.00202；3/5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Δ=0.00104；3/5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geraniol</w:t>
              <w:br/>
              <w:t>Δ=0.000468；5/5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F_malt_bread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Δ=0.00422；5/5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glycerol</w:t>
              <w:br/>
              <w:t>Δ=0.00137；5/5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Δ=0.00136；5/5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F_malt_cara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Δ=0.00818；5/5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Δ=0.00362；5/5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Δ=0.00193；4/5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F_malt_burn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Δ=0.0175；5/5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ethyl.furoate</w:t>
              <w:br/>
              <w:t>Δ=0.00485；5/5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Δ=0.00425；3/5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Δ=0.0283；5/5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Δ=0.0184；5/5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Δ=0.0145；5/5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F_hops_citrus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Δ=0.0034；4/5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Δ=0.00303；4/5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Δ=0.00213；4/5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F_hops_tropical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Δ=0.00692；5/5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Δ=0.00635；5/5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Δ=0.00188；3/5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F_hops_noble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Δ=0.0153；5/5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Δ=0.00812；4/5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Δ=0.00683；5/5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F_hops_woody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Δ=0.00753；5/5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Δ=0.00204；3/5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methyl.geranate</w:t>
              <w:br/>
              <w:t>Δ=0.000755；3/5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F_esters_all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Δ=0.00521；5/5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Δ=0.00392；3/5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Δ=0.00329；4/5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F_esters_ethac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ethanol..v.v.</w:t>
              <w:br/>
              <w:t>Δ=0.00247；4/5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Δ=0.00235；4/5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Δ=0.00204；5/5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F_esters_isoaa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Δ=0.00221；4/5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Δ=0.0022；4/5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Δ=0.00208；5/5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F_esters_flower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Δ=0.0016；5/5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E.cinnamaldehyde</w:t>
              <w:br/>
              <w:t>Δ=0.00155；4/5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X4.ethyl.guaiacol</w:t>
              <w:br/>
              <w:t>Δ=0.000996；4/5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F_esters_fruity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MeSH</w:t>
              <w:br/>
              <w:t>Δ=0.00118；4/5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X.E..alpha.ionone</w:t>
              <w:br/>
              <w:t>Δ=0.00085；3/5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Δ=0.000756；5/5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acidity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Δ=0.134；5/5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Δ=0.0115；3/5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X4.ethyl.guaiacol</w:t>
              <w:br/>
              <w:t>Δ=0.0115；4/5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bitternes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Δ=0.0273；5/5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Δ=0.0208；5/5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Δ=0.0137；5/5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sweetness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E.cinnamaldehyde</w:t>
              <w:br/>
              <w:t>Δ=0.00832；5/5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Δ=0.00532；4/5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Δ=0.00482；4/5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X4vg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X4VG</w:t>
              <w:br/>
              <w:t>Δ=0.00624；5/5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Δ=0.00556；4/5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Δ=0.00383；4/5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diacetyl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E.cinnamaldehyde</w:t>
              <w:br/>
              <w:t>Δ=0.00323；4/5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Δ=0.00298；4/5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Δ=0.00249；5/5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dms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Δ=0.000687；4/5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methyl.geranate</w:t>
              <w:br/>
              <w:t>Δ=0.000541；5/5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X2.butyloctanoate</w:t>
              <w:br/>
              <w:t>Δ=0.000523；5/5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metallic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Δ=0.0079；5/5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Δ=0.00266；4/5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ethyl_octanoate</w:t>
              <w:br/>
              <w:t>Δ=0.00175；4/5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stale_hops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Δ=0.000843；4/5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heptyl.acetate</w:t>
              <w:br/>
              <w:t>Δ=0.000664；3/5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Δ=0.000553；3/5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t2n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Δ=0.00217；4/5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Δ=0.000953；4/5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Δ=0.000943；4/5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orange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linalool</w:t>
              <w:br/>
              <w:t>Δ=0.00574；5/5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Δ=0.0056；3/5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ethyl..E..linalool</w:t>
              <w:br/>
              <w:t>Δ=0.0052；4/5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coriander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Δ=0.00478；3/5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geraniol</w:t>
              <w:br/>
              <w:t>Δ=0.00176；4/5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X1.alpha.terpineol</w:t>
              <w:br/>
              <w:t>Δ=0.00152；4/5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clove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cis.dihydro.beta.terpineol</w:t>
              <w:br/>
              <w:t>Δ=0.00462；3/5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limonene</w:t>
              <w:br/>
              <w:t>Δ=0.00354；5/5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alpha.muurolol</w:t>
              <w:br/>
              <w:t>Δ=0.00242；4/5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Δ=0.0868；5/5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Δ=0.00547；3/5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E.cinnamaldehyde</w:t>
              <w:br/>
              <w:t>Δ=0.00503；3/5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acetic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lactic_acid.mg.L.</w:t>
              <w:br/>
              <w:t>Δ=0.0891；5/5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ethyl_isovalerate</w:t>
              <w:br/>
              <w:t>Δ=0.00927；4/5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X4.ethyl.phenol</w:t>
              <w:br/>
              <w:t>Δ=0.00865；4/5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barnyard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</w:t>
              <w:br/>
              <w:t>Δ=0.00096；4/5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heptyl.acetate</w:t>
              <w:br/>
              <w:t>Δ=0.000697；3/5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beta.phellandrene</w:t>
              <w:br/>
              <w:t>Δ=0.000601；3/5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</w:t>
            </w:r>
          </w:p>
        </w:tc>
      </w:tr>
    </w:tbl>
    <w:p>
      <w:pPr>
        <w:spacing w:after="60" w:line="72" w:lineRule="auto"/>
        <w:ind w:firstLine="0"/>
      </w:pPr>
    </w:p>
    <w:p>
      <w:r>
        <w:t>表B-4逐折列出表6-4所用乙酸乙酯模块的全部成员。模块只使用该折训练数据构建，大小及成员会变化；该表不表示五折识别出了同一个固定化学组。</w:t>
      </w:r>
    </w:p>
    <w:p>
      <w:pPr>
        <w:pStyle w:val="Caption"/>
        <w:keepNext/>
        <w:jc w:val="center"/>
      </w:pPr>
      <w:r>
        <w:t>表B-4 乙酸乙酯相关模块的逐折成员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rPr>
          <w:cantSplit/>
          <w:tblHeader/>
        </w:trPr>
        <w:tc>
          <w:tcPr>
            <w:tcW w:type="dxa" w:w="113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折与成员数</w:t>
            </w:r>
          </w:p>
        </w:tc>
        <w:tc>
          <w:tcPr>
            <w:tcW w:type="dxa" w:w="793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成员字段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第1折</w:t>
              <w:br/>
              <w:t>11项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 | ethyl_decanoate | ethyl_hexanoate | ethyl_octanoate | isobutyl_acetate | isopentyl_acetate | phenethyl_acetate | glycerol | ethanol..v.v. | kcalperc | esters_sum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第2折</w:t>
              <w:br/>
              <w:t>12项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 | ethyl_acetate | ethyl_decanoate | ethyl_hexanoate | ethyl_octanoate | isobutyl_acetate | isopentyl_acetate | phenethyl_acetate | glycerol | ethanol..v.v. | kcalperc | esters_sum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第3折</w:t>
              <w:br/>
              <w:t>9项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ethyl_acetate | ethyl_hexanoate | isobutyl_acetate | isopentyl_acetate | phenethyl_acetate | glycerol | ethanol..v.v. | kcalperc | esters_sum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第4折</w:t>
              <w:br/>
              <w:t>11项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 | ethyl_acetate | ethyl_decanoate | ethyl_hexanoate | ethyl_octanoate | isobutyl_acetate | isopentyl_acetate | glycerol | ethanol..v.v. | kcalperc | esters_sum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第5折</w:t>
              <w:br/>
              <w:t>27项</w:t>
            </w:r>
          </w:p>
        </w:tc>
        <w:tc>
          <w:tcPr>
            <w:tcW w:type="dxa" w:w="79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acetaldehyde | ethyl_acetate | ethyl_decanoate | ethyl_hexanoate | ethyl_octanoate | isobutyl_acetate | isopentyl_acetate | phenethyl_acetate | glycerol | ethanol..v.v. | kcalperc | isobutyl.hexanoate | nerol.oxide | isopentyl.hexanoate | trans.dihydro.alpha.terpinyl.acetate | X2.butyloctanoate | X2.phenyl.ethyl.butyrate | X.Z..beta.farnesene | pentyl.octanoate | X2.methylbutyl.octanoate | X1.2.dihydro.8.hydroxy..2E..linalool | ethyl.tetradecanoate | ethyl.pentadecanoate | Z.Z.geranyl.linalool | ethyl.hexadecanoate | ethyl.octadecanoate | esters_sum</w:t>
            </w:r>
          </w:p>
        </w:tc>
      </w:tr>
    </w:tbl>
    <w:p>
      <w:pPr>
        <w:spacing w:after="60" w:line="72" w:lineRule="auto"/>
        <w:ind w:firstLine="0"/>
      </w:pPr>
    </w:p>
    <w:p>
      <w:bookmarkStart w:id="1233" w:name="sec_233"/>
      <w:pPr>
        <w:pStyle w:val="2"/>
        <w:pageBreakBefore/>
      </w:pPr>
      <w:r>
        <w:t>附录C 逐源迁移检查</w:t>
      </w:r>
      <w:bookmarkEnd w:id="1233"/>
    </w:p>
    <w:p>
      <w:r>
        <w:t>表C-1采用固定树、中央6004池、retain80、余量优先口径。两个Q95为预留当前模型及新种子旧协议模型的配对预测差分位数；任一大于零均记为失败。改善率已包含所有选中谱，不删除失败的beer 96。完整72点策略网格及十情景化学检查随电子附录保存。</w:t>
      </w:r>
    </w:p>
    <w:p>
      <w:pPr>
        <w:pStyle w:val="Caption"/>
        <w:keepNext/>
        <w:jc w:val="center"/>
      </w:pPr>
      <w:r>
        <w:t>表C-1 全部11款源的余量优先迁移检查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417"/>
        <w:gridCol w:w="1814"/>
        <w:gridCol w:w="1701"/>
        <w:gridCol w:w="1701"/>
        <w:gridCol w:w="1417"/>
      </w:tblGrid>
      <w:tr>
        <w:trPr>
          <w:cantSplit/>
          <w:tblHeader/>
        </w:trPr>
        <w:tc>
          <w:tcPr>
            <w:tcW w:type="dxa" w:w="73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beer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距离改善</w:t>
            </w:r>
          </w:p>
        </w:tc>
        <w:tc>
          <w:tcPr>
            <w:tcW w:type="dxa" w:w="181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保留锚幅度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当前Q95</w:t>
            </w:r>
          </w:p>
        </w:tc>
        <w:tc>
          <w:tcPr>
            <w:tcW w:type="dxa" w:w="170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旧协议Q95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审计结果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59.14%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235.85%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-0.04880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-0.03263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63.76%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90.04%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-0.08334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-0.15091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65.02%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101.31%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-0.20229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-0.10714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47.35%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163.70%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+0.02100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-0.04175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未通过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57.74%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87.86%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-0.07386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-0.09737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185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66.46%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275.68%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-0.00883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-0.05151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56.25%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85.21%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-0.05956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-0.06710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38.78%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177.04%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-0.04141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-0.06655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56.75%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86.27%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-0.10962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-0.14841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35.11%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166.18%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-0.03585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-0.03919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69.35%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101.80%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-0.29602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-0.32845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</w:tbl>
    <w:p>
      <w:pPr>
        <w:spacing w:after="60" w:line="72" w:lineRule="auto"/>
        <w:ind w:firstLine="0"/>
      </w:pPr>
    </w:p>
    <w:p>
      <w:pPr>
        <w:pStyle w:val="Caption"/>
        <w:keepNext/>
        <w:jc w:val="center"/>
      </w:pPr>
      <w:r>
        <w:t>表C-2 全部72组迁移策略结果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247"/>
        <w:gridCol w:w="1191"/>
        <w:gridCol w:w="794"/>
        <w:gridCol w:w="850"/>
        <w:gridCol w:w="850"/>
        <w:gridCol w:w="2098"/>
      </w:tblGrid>
      <w:tr>
        <w:trPr>
          <w:cantSplit/>
          <w:tblHeader/>
        </w:trPr>
        <w:tc>
          <w:tcPr>
            <w:tcW w:type="dxa" w:w="90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模型</w:t>
            </w:r>
          </w:p>
        </w:tc>
        <w:tc>
          <w:tcPr>
            <w:tcW w:type="dxa" w:w="124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候选集</w:t>
            </w:r>
          </w:p>
        </w:tc>
        <w:tc>
          <w:tcPr>
            <w:tcW w:type="dxa" w:w="119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接近下限</w:t>
            </w:r>
          </w:p>
        </w:tc>
        <w:tc>
          <w:tcPr>
            <w:tcW w:type="dxa" w:w="79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排序</w:t>
            </w:r>
          </w:p>
        </w:tc>
        <w:tc>
          <w:tcPr>
            <w:tcW w:type="dxa" w:w="85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选出</w:t>
            </w:r>
          </w:p>
        </w:tc>
        <w:tc>
          <w:tcPr>
            <w:tcW w:type="dxa" w:w="850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通过</w:t>
            </w:r>
          </w:p>
        </w:tc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改善中位数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56.75%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56.75%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57.95%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66.75%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66.46%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70.08%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57.74%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21.90%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55.18%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60.88%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64.95%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64.95%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54.38%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20.53%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54.38%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60.88%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65.78%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64.95%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64.95%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64.18%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固定树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54.38%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57.13%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32.63%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57.13%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32.64%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57.70%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53.17%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70.10%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63.12%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66.55%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66.13%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57.70%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收缩6004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53.17%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26.85%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15.93%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49.14%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49.82%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27.22%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27.22%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27.22%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原2004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27.22%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28.55%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≥10%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18.21%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31.09%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≥30%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30.75%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≥50%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≥60%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68.12%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29.23%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保留100%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27.22%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几何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25.18%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岭回归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原6004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保留80%</w:t>
            </w:r>
          </w:p>
        </w:tc>
        <w:tc>
          <w:tcPr>
            <w:tcW w:type="dxa" w:w="7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余量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4/11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3/11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22.28%</w:t>
            </w:r>
          </w:p>
        </w:tc>
      </w:tr>
    </w:tbl>
    <w:p>
      <w:pPr>
        <w:spacing w:after="60" w:line="72" w:lineRule="auto"/>
        <w:ind w:firstLine="0"/>
      </w:pPr>
    </w:p>
    <w:p>
      <w:r>
        <w:t>改善中位数按全部选中谱计算，包括复核未通过者；无候选时记为横线。每组分母均为11，不以选出的条数代替源样本总数。逐化合物十情景检查及全部数值文件随支撑材料提交。</w:t>
      </w:r>
    </w:p>
    <w:p>
      <w:r>
        <w:t>表C-3列出余量优先主方案全部11款源的44项浓度检查。每行上界为十情景中最严值，剩余裕量为上界减迁移浓度，单位与该行校准浓度相同；源浓度超过阈值时，上界可以高于感知阈值。化学检查不代替表C-1的Stale hops模型复核。</w:t>
      </w:r>
    </w:p>
    <w:p>
      <w:pPr>
        <w:pStyle w:val="Caption"/>
        <w:keepNext/>
        <w:jc w:val="center"/>
      </w:pPr>
      <w:r>
        <w:t>表C-3 全部源的迁移前后校准浓度与保护裕量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098"/>
        <w:gridCol w:w="1361"/>
        <w:gridCol w:w="1361"/>
        <w:gridCol w:w="1361"/>
        <w:gridCol w:w="1361"/>
        <w:gridCol w:w="907"/>
      </w:tblGrid>
      <w:tr>
        <w:trPr>
          <w:cantSplit/>
          <w:tblHeader/>
        </w:trPr>
        <w:tc>
          <w:tcPr>
            <w:tcW w:type="dxa" w:w="62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beer</w:t>
            </w:r>
          </w:p>
        </w:tc>
        <w:tc>
          <w:tcPr>
            <w:tcW w:type="dxa" w:w="2098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化合物与单位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源浓度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迁移浓度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最严上界</w:t>
            </w:r>
          </w:p>
        </w:tc>
        <w:tc>
          <w:tcPr>
            <w:tcW w:type="dxa" w:w="1361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剩余裕量</w:t>
            </w:r>
          </w:p>
        </w:tc>
        <w:tc>
          <w:tcPr>
            <w:tcW w:type="dxa" w:w="90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检查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14.296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0.0516208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0.0625324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0.0094676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0.000803907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8.85868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0.284814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0.247202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0.284814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0.0376123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0.003422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26.675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26.675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26.675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0.0569595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218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0.00111066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0.00111066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0.00111066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15.5585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0.523886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0.504705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0.523886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0.0191806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0.011935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0.00598882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0.011935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0.00594619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15.1128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15.1128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15.1128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0.0417431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0.0194032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0.00149942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0.00149942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0.00149942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185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6.6631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185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0.0357731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185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185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0.00174338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0.00174338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0.00174338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20.1596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20.1596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20.1596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0.0325513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139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0.00201172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0.00201172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0.00201172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14.0721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14.0721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14.0721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0.0261853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209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0.00271219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0.00271219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0.00271219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16.6615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16.6615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16.6615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0.0625324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0.0094676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0.143755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0.00483768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0.00483768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0.00483768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7.93311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0.236137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0.236137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0.236137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0.00181628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0.00181628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0.00181628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DMS</w:t>
              <w:br/>
              <w:t>μg/L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27.3576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27.3576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27.3576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Diacetyl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0.072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4VG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trans-2-nonenal</w:t>
              <w:br/>
              <w:t>mg/L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0.0115304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0.0115304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0.0115304</w:t>
            </w:r>
          </w:p>
        </w:tc>
        <w:tc>
          <w:tcPr>
            <w:tcW w:type="dxa" w:w="13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90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通过</w:t>
            </w:r>
          </w:p>
        </w:tc>
      </w:tr>
    </w:tbl>
    <w:p>
      <w:pPr>
        <w:spacing w:after="60" w:line="72" w:lineRule="auto"/>
        <w:ind w:firstLine="0"/>
      </w:pPr>
    </w:p>
    <w:p>
      <w:bookmarkStart w:id="1240" w:name="sec_240"/>
      <w:pPr>
        <w:pStyle w:val="2"/>
        <w:pageBreakBefore/>
      </w:pPr>
      <w:r>
        <w:t>附录D 软件环境与运行方法</w:t>
      </w:r>
      <w:bookmarkEnd w:id="1240"/>
    </w:p>
    <w:p>
      <w:r>
        <w:t>模型原计算环境为Python 3.13，精确依赖列于表D-1。程序采用UTF-8文本、正斜杠相对路径和固定换行规则，支持Windows。原始赛题附件与solution_a文件夹并列，保持官方目录名；数据不重复打包。建模计算、结果绘图及数值检验源码全文列于附录E。</w:t>
      </w:r>
    </w:p>
    <w:p>
      <w:pPr>
        <w:pStyle w:val="Caption"/>
        <w:keepNext/>
        <w:jc w:val="center"/>
      </w:pPr>
      <w:r>
        <w:t>表D-1 计算依赖版本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软件包</w:t>
            </w:r>
          </w:p>
        </w:tc>
        <w:tc>
          <w:tcPr>
            <w:tcW w:type="dxa" w:w="4535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cloudpickle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3.1.2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contourpy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1.4.0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cycler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0.12.1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et_xmlfile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2.0.0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fonttools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4.67.0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joblib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1.6.0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kiwisolver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1.5.1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matplotlib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3.11.2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narwhals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2.27.1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numpy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2.5.4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openpyxl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3.1.5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packaging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26.3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pandas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3.1.0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pillow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13.0.0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pyparsing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3.3.3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pypdf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6.21.2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python-dateutil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3.0.0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scikit-learn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1.9.1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scipy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1.18.1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six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1.17.0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threadpoolctl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3.7.0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tzdata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2026.5</w:t>
            </w:r>
          </w:p>
        </w:tc>
      </w:tr>
    </w:tbl>
    <w:p>
      <w:pPr>
        <w:spacing w:after="60" w:line="72" w:lineRule="auto"/>
        <w:ind w:firstLine="0"/>
      </w:pPr>
    </w:p>
    <w:p>
      <w:r>
        <w:t>在Windows PowerShell中进入解压后的根目录，建立独立环境并安装依赖：</w:t>
      </w:r>
    </w:p>
    <w:p>
      <w:pPr>
        <w:keepLines/>
        <w:spacing w:line="240" w:lineRule="exact"/>
        <w:ind w:firstLine="0"/>
      </w:pPr>
      <w:r>
        <w:rPr>
          <w:rFonts w:ascii="Consolas" w:hAnsi="Consolas"/>
          <w:sz w:val="18"/>
        </w:rPr>
        <w:t>py -3.13 -m venv .venv</w:t>
        <w:br/>
        <w:t>.\.venv\Scripts\python.exe -m pip install -r solution_a/requirements-lock.txt</w:t>
      </w:r>
    </w:p>
    <w:p>
      <w:r>
        <w:t>对包含完整outputs的仓库，默认只核查现有结果，不重新训练或改写冻结记录：</w:t>
      </w:r>
    </w:p>
    <w:p>
      <w:pPr>
        <w:keepLines/>
        <w:spacing w:line="240" w:lineRule="exact"/>
        <w:ind w:firstLine="0"/>
      </w:pPr>
      <w:r>
        <w:rPr>
          <w:rFonts w:ascii="Consolas" w:hAnsi="Consolas"/>
          <w:sz w:val="18"/>
        </w:rPr>
        <w:t>.\.venv\Scripts\python.exe -X utf8 solution_a/run_all.py</w:t>
      </w:r>
    </w:p>
    <w:p>
      <w:r>
        <w:t>支撑材料中的paper_results和supplement_results为引用结果副本，不作为训练输出目录。首次完整重建在新解压目录执行：</w:t>
      </w:r>
    </w:p>
    <w:p>
      <w:pPr>
        <w:keepLines/>
        <w:spacing w:line="240" w:lineRule="exact"/>
        <w:ind w:firstLine="0"/>
      </w:pPr>
      <w:r>
        <w:rPr>
          <w:rFonts w:ascii="Consolas" w:hAnsi="Consolas"/>
          <w:sz w:val="18"/>
        </w:rPr>
        <w:t>.\.venv\Scripts\python.exe -X utf8 solution_a/run_all.py --rebuild</w:t>
      </w:r>
    </w:p>
    <w:p>
      <w:r>
        <w:t>重建须保留全部原始附件，依次执行数据核验、预测、关联分析、风格生成、迁移及补充验证。程序对非空历史或补充输出拒绝覆盖；重新试验应另建副本。补充验证源码与结果位于supplement目录，run_supplement.py可单独核查。计算耗时随硬件变化。历史独立重建中，主方案关键比较一致，全探索网格仍有候选与计数差异，具体范围见第8.2节及核验记录。</w:t>
      </w:r>
    </w:p>
    <w:p>
      <w:bookmarkStart w:id="1250" w:name="sec_250"/>
      <w:pPr>
        <w:pStyle w:val="2"/>
        <w:pageBreakBefore/>
      </w:pPr>
      <w:r>
        <w:t>附录E 完整计算机源程序</w:t>
      </w:r>
      <w:bookmarkEnd w:id="1250"/>
    </w:p>
    <w:p>
      <w:r>
        <w:t>本附录按文件给出建模计算、结果绘图及数值检验所用源程序。源代码以可选取的文本排印，左侧为原文件行号；长行折行处不另编号。运行时使用支撑包中的同名文件，避免PDF阅读器复制时丢失缩进。文件清单、源码全文和支撑包采用同一份程序目录。</w:t>
      </w:r>
    </w:p>
    <w:p>
      <w:pPr>
        <w:pStyle w:val="Caption"/>
        <w:keepNext/>
        <w:jc w:val="center"/>
      </w:pPr>
      <w:r>
        <w:t>表E-1 源程序目录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417"/>
      </w:tblGrid>
      <w:tr>
        <w:trPr>
          <w:cantSplit/>
          <w:tblHeader/>
        </w:trPr>
        <w:tc>
          <w:tcPr>
            <w:tcW w:type="dxa" w:w="7654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文件（相对solution_a）</w:t>
            </w:r>
          </w:p>
        </w:tc>
        <w:tc>
          <w:tcPr>
            <w:tcW w:type="dxa" w:w="1417"/>
            <w:vAlign w:val="center"/>
            <w:shd w:fill="EDEF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/>
              <w:spacing w:line="260" w:lineRule="exact" w:after="0"/>
              <w:jc w:val="center"/>
            </w:pPr>
            <w:r>
              <w:rPr>
                <w:b/>
                <w:sz w:val="19"/>
              </w:rPr>
              <w:t>行数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paper/make_figures.py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468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run_all.py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run_q3.py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run_q3_domain.py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run_q3_optimized.py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run_q3_refined.py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run_supplement.py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src/01_audit.py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467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src/02_q1_baseline.py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173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src/02b_q1_robust.py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93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src/03_q2_network.py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246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src/04_stage_summary.py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131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src/05_verify_outputs.py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src/06_q3_sensory.py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230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src/07_q3_generation.py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419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src/08_q3_transfer.py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320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src/09_q3_report.py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271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src/10_q3_verify.py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543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src/11_q3_generation_optimized.py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288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src/12_q3_stale_optimized.py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241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src/12b_q3_stale_fixed.py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217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src/13_q3_transfer_optimized.py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335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src/14_q3_optimization_report.py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293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src/15_q3_optimized_verify.py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732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src/16_q3_stale_domain.py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323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src/17_q3_transfer_domain.py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337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src/18_q3_domain_report.py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513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src/19_q3_domain_verify.py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566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src/20_q3_transfer_consensus.py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src/21_q3_beer81_audit.py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453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src/22_q3_stale_refined.py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406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src/23_q3_transfer_balanced.py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328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src/24_q3_refinement_report.py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src/25_q3_refined_verify.py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728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src/common.py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73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src/platform_selfcheck.py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118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src/q3_copula.py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src/q3_data.py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122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src/q3_generator_optimized.py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222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src/q3_stale_domain.py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158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src/q3_stale_optimized.py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180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src/q3_stale_refined.py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205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supplement/q1_additional_checks.py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67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supplement/q1_comparison.py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151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supplement/q1_indicator_ablation.py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306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supplement/q2_permutation.py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189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supplement/q2_stratified_bootstrap.py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191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supplement/reference_tables.py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331</w:t>
            </w:r>
          </w:p>
        </w:tc>
      </w:tr>
      <w:tr>
        <w:trPr>
          <w:cantSplit/>
        </w:trPr>
        <w:tc>
          <w:tcPr>
            <w:tcW w:type="dxa" w:w="76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left"/>
            </w:pPr>
            <w:r>
              <w:rPr>
                <w:b w:val="0"/>
                <w:sz w:val="19"/>
              </w:rPr>
              <w:t>supplement/verify_supplement.py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pStyle w:val="TableText"/>
              <w:keepNext w:val="0"/>
              <w:spacing w:line="260" w:lineRule="exact" w:after="0"/>
              <w:jc w:val="center"/>
            </w:pPr>
            <w:r>
              <w:rPr>
                <w:b w:val="0"/>
                <w:sz w:val="19"/>
              </w:rPr>
              <w:t>170</w:t>
            </w:r>
          </w:p>
        </w:tc>
      </w:tr>
    </w:tbl>
    <w:p>
      <w:pPr>
        <w:spacing w:after="60" w:line="72" w:lineRule="auto"/>
        <w:ind w:firstLine="0"/>
      </w:pPr>
    </w:p>
    <w:sectPr>
      <w:footerReference r:id="rId6" w:type="default"/>
      <w:pgSz w:w="11906" w:h="16838"/>
      <w:pgMar w:top="1134" w:right="1418" w:bottom="1134" w:left="1418" w:header="851" w:footer="992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0"/>
      <w:jc w:val="center"/>
    </w:pP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AxZTJhZmUwNGNkYWMwMWIzOTJlZDUzM2MwMDA5NzQifQ=="/>
  </w:docVars>
  <w:rsids>
    <w:rsidRoot w:val="00242944"/>
    <w:rsid w:val="000247D2"/>
    <w:rsid w:val="000A7DFE"/>
    <w:rsid w:val="000B0F79"/>
    <w:rsid w:val="00135E1E"/>
    <w:rsid w:val="00140A72"/>
    <w:rsid w:val="0017669F"/>
    <w:rsid w:val="0022110C"/>
    <w:rsid w:val="00242944"/>
    <w:rsid w:val="00337318"/>
    <w:rsid w:val="00365C5E"/>
    <w:rsid w:val="00386FA3"/>
    <w:rsid w:val="00394BC3"/>
    <w:rsid w:val="003A7637"/>
    <w:rsid w:val="004E52C3"/>
    <w:rsid w:val="005378D6"/>
    <w:rsid w:val="00552247"/>
    <w:rsid w:val="00553C8C"/>
    <w:rsid w:val="00612414"/>
    <w:rsid w:val="006354A1"/>
    <w:rsid w:val="00643E7D"/>
    <w:rsid w:val="00677632"/>
    <w:rsid w:val="006D060F"/>
    <w:rsid w:val="00825F7B"/>
    <w:rsid w:val="00837241"/>
    <w:rsid w:val="008A6FF6"/>
    <w:rsid w:val="008C49C8"/>
    <w:rsid w:val="0096096E"/>
    <w:rsid w:val="009667CB"/>
    <w:rsid w:val="009933F6"/>
    <w:rsid w:val="009E2E37"/>
    <w:rsid w:val="009E6F73"/>
    <w:rsid w:val="00A02AF5"/>
    <w:rsid w:val="00A76F18"/>
    <w:rsid w:val="00A956B2"/>
    <w:rsid w:val="00AA7FF4"/>
    <w:rsid w:val="00B049DA"/>
    <w:rsid w:val="00B1618E"/>
    <w:rsid w:val="00B43272"/>
    <w:rsid w:val="00BD553E"/>
    <w:rsid w:val="00BF6747"/>
    <w:rsid w:val="00BF6D01"/>
    <w:rsid w:val="00C319BE"/>
    <w:rsid w:val="00C450AF"/>
    <w:rsid w:val="00C6702B"/>
    <w:rsid w:val="00C7724D"/>
    <w:rsid w:val="00CB4990"/>
    <w:rsid w:val="00CD368A"/>
    <w:rsid w:val="00D12033"/>
    <w:rsid w:val="00D330FE"/>
    <w:rsid w:val="00E35C50"/>
    <w:rsid w:val="00F310BE"/>
    <w:rsid w:val="00F37167"/>
    <w:rsid w:val="00F96DB7"/>
    <w:rsid w:val="14076570"/>
    <w:rsid w:val="1ACC755F"/>
    <w:rsid w:val="45443F0A"/>
    <w:rsid w:val="49B7716A"/>
    <w:rsid w:val="6B8618A4"/>
    <w:rsid w:val="78BA30ED"/>
    <w:rsid w:val="7CE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line="360" w:lineRule="exact" w:before="0" w:after="80"/>
      <w:ind w:firstLine="480"/>
      <w:jc w:val="both"/>
      <w:snapToGrid w:val="0"/>
    </w:pPr>
    <w:rPr>
      <w:rFonts w:ascii="Times New Roman" w:hAnsi="Times New Roman" w:eastAsia="SimSun" w:cs="Times New Roman"/>
      <w:b w:val="0"/>
      <w:color w:val="00000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widowControl/>
      <w:spacing w:before="240" w:after="120" w:line="300" w:lineRule="auto"/>
      <w:ind w:firstLine="0"/>
      <w:outlineLvl w:val="0"/>
      <w:snapToGrid w:val="0"/>
      <w:outlineLvl w:val="0"/>
    </w:pPr>
    <w:rPr>
      <w:rFonts w:ascii="Times New Roman" w:hAnsi="Times New Roman" w:eastAsia="SimHei"/>
      <w:b/>
      <w:bCs/>
      <w:color w:val="000000"/>
      <w:kern w:val="44"/>
      <w:sz w:val="28"/>
      <w:szCs w:val="44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7"/>
    <w:basedOn w:val="1"/>
    <w:next w:val="1"/>
    <w:unhideWhenUsed/>
    <w:qFormat/>
    <w:uiPriority w:val="39"/>
    <w:pPr>
      <w:ind w:left="1260"/>
      <w:jc w:val="left"/>
    </w:pPr>
    <w:rPr>
      <w:sz w:val="20"/>
      <w:szCs w:val="20"/>
    </w:rPr>
  </w:style>
  <w:style w:type="paragraph" w:styleId="4">
    <w:name w:val="toc 5"/>
    <w:basedOn w:val="1"/>
    <w:next w:val="1"/>
    <w:unhideWhenUsed/>
    <w:qFormat/>
    <w:uiPriority w:val="39"/>
    <w:pPr>
      <w:ind w:left="840"/>
      <w:jc w:val="left"/>
    </w:pPr>
    <w:rPr>
      <w:sz w:val="20"/>
      <w:szCs w:val="20"/>
    </w:rPr>
  </w:style>
  <w:style w:type="paragraph" w:styleId="5">
    <w:name w:val="toc 3"/>
    <w:basedOn w:val="1"/>
    <w:next w:val="1"/>
    <w:unhideWhenUsed/>
    <w:qFormat/>
    <w:uiPriority w:val="39"/>
    <w:pPr>
      <w:ind w:left="420"/>
      <w:jc w:val="left"/>
    </w:pPr>
    <w:rPr>
      <w:sz w:val="22"/>
    </w:rPr>
  </w:style>
  <w:style w:type="paragraph" w:styleId="6">
    <w:name w:val="toc 8"/>
    <w:basedOn w:val="1"/>
    <w:next w:val="1"/>
    <w:unhideWhenUsed/>
    <w:qFormat/>
    <w:uiPriority w:val="39"/>
    <w:pPr>
      <w:ind w:left="1470"/>
      <w:jc w:val="left"/>
    </w:pPr>
    <w:rPr>
      <w:sz w:val="20"/>
      <w:szCs w:val="20"/>
    </w:rPr>
  </w:style>
  <w:style w:type="paragraph" w:styleId="7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  <w:pPr>
      <w:spacing w:before="120"/>
      <w:jc w:val="left"/>
    </w:pPr>
    <w:rPr>
      <w:b/>
      <w:sz w:val="24"/>
      <w:szCs w:val="24"/>
    </w:rPr>
  </w:style>
  <w:style w:type="paragraph" w:styleId="11">
    <w:name w:val="toc 4"/>
    <w:basedOn w:val="1"/>
    <w:next w:val="1"/>
    <w:unhideWhenUsed/>
    <w:qFormat/>
    <w:uiPriority w:val="39"/>
    <w:pPr>
      <w:ind w:left="630"/>
      <w:jc w:val="left"/>
    </w:pPr>
    <w:rPr>
      <w:sz w:val="20"/>
      <w:szCs w:val="20"/>
    </w:rPr>
  </w:style>
  <w:style w:type="paragraph" w:styleId="12">
    <w:name w:val="toc 6"/>
    <w:basedOn w:val="1"/>
    <w:next w:val="1"/>
    <w:unhideWhenUsed/>
    <w:qFormat/>
    <w:uiPriority w:val="39"/>
    <w:pPr>
      <w:ind w:left="1050"/>
      <w:jc w:val="left"/>
    </w:pPr>
    <w:rPr>
      <w:sz w:val="20"/>
      <w:szCs w:val="20"/>
    </w:rPr>
  </w:style>
  <w:style w:type="paragraph" w:styleId="13">
    <w:name w:val="toc 2"/>
    <w:basedOn w:val="1"/>
    <w:next w:val="1"/>
    <w:unhideWhenUsed/>
    <w:qFormat/>
    <w:uiPriority w:val="39"/>
    <w:pPr>
      <w:ind w:left="210"/>
      <w:jc w:val="left"/>
    </w:pPr>
    <w:rPr>
      <w:b/>
      <w:sz w:val="22"/>
    </w:rPr>
  </w:style>
  <w:style w:type="paragraph" w:styleId="14">
    <w:name w:val="toc 9"/>
    <w:basedOn w:val="1"/>
    <w:next w:val="1"/>
    <w:unhideWhenUsed/>
    <w:qFormat/>
    <w:uiPriority w:val="39"/>
    <w:pPr>
      <w:ind w:left="1680"/>
      <w:jc w:val="left"/>
    </w:pPr>
    <w:rPr>
      <w:sz w:val="20"/>
      <w:szCs w:val="20"/>
    </w:rPr>
  </w:style>
  <w:style w:type="table" w:styleId="16">
    <w:name w:val="Table Grid"/>
    <w:basedOn w:val="1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9">
    <w:name w:val="页眉 字符"/>
    <w:link w:val="9"/>
    <w:qFormat/>
    <w:uiPriority w:val="99"/>
    <w:rPr>
      <w:sz w:val="18"/>
      <w:szCs w:val="18"/>
    </w:rPr>
  </w:style>
  <w:style w:type="character" w:customStyle="1" w:styleId="20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21">
    <w:name w:val="页脚 字符"/>
    <w:link w:val="8"/>
    <w:qFormat/>
    <w:uiPriority w:val="99"/>
    <w:rPr>
      <w:sz w:val="18"/>
      <w:szCs w:val="18"/>
    </w:rPr>
  </w:style>
  <w:style w:type="paragraph" w:customStyle="1" w:styleId="22">
    <w:name w:val="网格表 3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libri Light" w:hAnsi="Calibri Light"/>
      <w:color w:val="2E74B5"/>
      <w:kern w:val="0"/>
      <w:sz w:val="28"/>
      <w:szCs w:val="28"/>
    </w:rPr>
  </w:style>
  <w:style w:type="paragraph" w:customStyle="1" w:styleId="Title">
    <w:name w:val="Title"/>
    <w:pPr>
      <w:widowControl/>
      <w:spacing w:line="300" w:lineRule="auto" w:before="0" w:after="80"/>
      <w:snapToGrid w:val="0"/>
      <w:jc w:val="center"/>
    </w:pPr>
    <w:rPr>
      <w:rFonts w:ascii="Times New Roman" w:hAnsi="Times New Roman" w:eastAsia="SimSun"/>
      <w:b/>
      <w:color w:val="000000"/>
      <w:sz w:val="28"/>
    </w:rPr>
  </w:style>
  <w:style w:type="paragraph" w:customStyle="1" w:styleId="Heading2">
    <w:name w:val="heading 2"/>
    <w:pPr>
      <w:keepNext/>
      <w:keepLines/>
      <w:widowControl/>
      <w:spacing w:line="300" w:lineRule="auto" w:before="140" w:after="120"/>
      <w:snapToGrid w:val="0"/>
      <w:ind w:firstLine="0"/>
      <w:outlineLvl w:val="1"/>
    </w:pPr>
    <w:rPr>
      <w:rFonts w:ascii="Times New Roman" w:hAnsi="Times New Roman" w:eastAsia="SimHei"/>
      <w:b/>
      <w:color w:val="000000"/>
      <w:sz w:val="24"/>
    </w:rPr>
  </w:style>
  <w:style w:type="paragraph" w:customStyle="1" w:styleId="Heading3">
    <w:name w:val="heading 3"/>
    <w:pPr>
      <w:keepNext/>
      <w:keepLines/>
      <w:widowControl/>
      <w:spacing w:line="300" w:lineRule="auto" w:before="140" w:after="120"/>
      <w:snapToGrid w:val="0"/>
      <w:ind w:firstLine="0"/>
      <w:outlineLvl w:val="2"/>
    </w:pPr>
    <w:rPr>
      <w:rFonts w:ascii="Times New Roman" w:hAnsi="Times New Roman" w:eastAsia="SimHei"/>
      <w:b/>
      <w:color w:val="000000"/>
      <w:sz w:val="24"/>
    </w:rPr>
  </w:style>
  <w:style w:type="paragraph" w:customStyle="1" w:styleId="Caption">
    <w:name w:val="caption"/>
    <w:pPr>
      <w:widowControl/>
      <w:spacing w:line="300" w:lineRule="auto" w:before="0" w:after="80"/>
      <w:snapToGrid w:val="0"/>
      <w:ind w:firstLine="0"/>
    </w:pPr>
    <w:rPr>
      <w:rFonts w:ascii="Times New Roman" w:hAnsi="Times New Roman" w:eastAsia="SimSun"/>
      <w:b w:val="0"/>
      <w:color w:val="000000"/>
      <w:sz w:val="21"/>
    </w:rPr>
  </w:style>
  <w:style w:type="paragraph" w:customStyle="1" w:styleId="TableText">
    <w:name w:val="TableText"/>
    <w:pPr>
      <w:widowControl/>
      <w:spacing w:line="300" w:lineRule="auto" w:before="0" w:after="80"/>
      <w:snapToGrid w:val="0"/>
      <w:ind w:firstLine="0"/>
    </w:pPr>
    <w:rPr>
      <w:rFonts w:ascii="Times New Roman" w:hAnsi="Times New Roman" w:eastAsia="SimSun"/>
      <w:b w:val="0"/>
      <w:color w:val="000000"/>
      <w:sz w:val="20"/>
    </w:rPr>
  </w:style>
  <w:style w:type="paragraph" w:customStyle="1" w:styleId="ReferenceText">
    <w:name w:val="ReferenceText"/>
    <w:pPr>
      <w:widowControl/>
      <w:spacing w:line="300" w:lineRule="auto" w:before="0" w:after="80"/>
      <w:snapToGrid w:val="0"/>
      <w:ind w:firstLine="0"/>
    </w:pPr>
    <w:rPr>
      <w:rFonts w:ascii="Times New Roman" w:hAnsi="Times New Roman" w:eastAsia="SimSun"/>
      <w:b w:val="0"/>
      <w:color w:val="000000"/>
      <w:sz w:val="21"/>
    </w:rPr>
  </w:style>
  <w:style w:type="paragraph" w:customStyle="1" w:styleId="ContentsText">
    <w:name w:val="ContentsText"/>
    <w:pPr>
      <w:widowControl/>
      <w:spacing w:line="300" w:lineRule="auto" w:before="0" w:after="80"/>
      <w:snapToGrid w:val="0"/>
      <w:ind w:firstLine="0"/>
    </w:pPr>
    <w:rPr>
      <w:rFonts w:ascii="Times New Roman" w:hAnsi="Times New Roman" w:eastAsia="SimSun"/>
      <w:b w:val="0"/>
      <w:color w:val="000000"/>
      <w:sz w:val="21"/>
    </w:rPr>
  </w:style>
  <w:style w:type="paragraph" w:customStyle="1" w:styleId="Equation">
    <w:name w:val="Equation"/>
    <w:pPr>
      <w:widowControl/>
      <w:spacing w:line="300" w:lineRule="auto" w:before="0" w:after="80"/>
      <w:snapToGrid w:val="0"/>
      <w:ind w:firstLine="0"/>
    </w:pPr>
    <w:rPr>
      <w:rFonts w:ascii="Times New Roman" w:hAnsi="Times New Roman" w:eastAsia="SimSun"/>
      <w:b w:val="0"/>
      <w:color w:val="000000"/>
      <w:sz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΢й�</Company>
  <Pages>3</Pages>
  <Words>38</Words>
  <Characters>49</Characters>
  <Lines>1</Lines>
  <Paragraphs>1</Paragraphs>
  <TotalTime>2</TotalTime>
  <ScaleCrop>false</ScaleCrop>
  <LinksUpToDate>false</LinksUpToDate>
  <CharactersWithSpaces>53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2022-12-19T03:48:00Z</dcterms:created>
  <dc:creator/>
  <cp:lastModifiedBy/>
  <dcterms:modified xsi:type="dcterms:W3CDTF">2026-10-22T07:15:50Z</dcterms:modified>
  <cp:revision>2</cp:revision>
  <dc:title>基于集成学习与条件Copula的啤酒风味预测及受约束风格迁移</dc:title>
  <dc:description/>
  <dc:subject>啤酒风味建模</dc:subject>
  <cp:keywords>啤酒风味；多输出预测；关联网络；条件Copula；受约束迁移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67A04E5E1D9F45E3AD2FB14F1F93114E_13</vt:lpwstr>
  </property>
</Properties>
</file>