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rFonts w:ascii="Times New Roman" w:hAnsi="Times New Roman"/>
          <w:b/>
          <w:color w:val="00008B"/>
          <w:sz w:val="36"/>
        </w:rPr>
        <w:t>BÁO CÁO HỌC TẬP HỌC KỲ I</w:t>
      </w:r>
    </w:p>
    <w:p>
      <w:pPr>
        <w:pStyle w:val="Heading1"/>
      </w:pPr>
      <w:r>
        <w:t>Mục lục</w:t>
      </w:r>
    </w:p>
    <w:p>
      <w:r>
        <w:t>1. Giới thiệu chung</w:t>
      </w:r>
    </w:p>
    <w:p>
      <w:r>
        <w:t>2. Kết quả học tập</w:t>
      </w:r>
    </w:p>
    <w:p>
      <w:r>
        <w:t>3. Nhận xét</w:t>
      </w:r>
    </w:p>
    <w:p>
      <w:pPr>
        <w:pStyle w:val="Heading1"/>
      </w:pPr>
      <w:r>
        <w:t>Giới thiệu chung</w:t>
      </w:r>
    </w:p>
    <w:p>
      <w:r>
        <w:t>Trong học kỳ I, sinh viên đã tham gia đầy đủ các môn học theo chương trình đào tạo. Các môn học bao gồm Toán, Lý, Hóa, Tin và một số môn học khác. Trong quá trình học tập, sinh viên đã tích cực tham gia các hoạt động trên lớp, hoàn thành bài tập về nhà và tham gia kiểm tra định kỳ. Kết quả học tập phản ánh sự nỗ lực và cố gắng của sinh viên trong suốt học kỳ. Ngoài ra, sinh viên còn tham gia các hoạt động ngoại khóa nhằm nâng cao kỹ năng mềm, góp phần phát triển toàn diện cả về kiến thức lẫn kỹ năng thực hành.</w:t>
      </w:r>
      <w:r>
        <w:rPr>
          <w:b/>
          <w:color w:val="FF0000"/>
        </w:rPr>
        <w:t xml:space="preserve"> nỗ lực</w:t>
      </w:r>
      <w:r>
        <w:rPr>
          <w:b/>
          <w:color w:val="FF0000"/>
        </w:rPr>
        <w:t xml:space="preserve"> kỹ năng mềm</w:t>
      </w:r>
      <w:r>
        <w:rPr>
          <w:b/>
          <w:color w:val="FF0000"/>
        </w:rPr>
        <w:t xml:space="preserve"> toàn diện</w:t>
      </w:r>
    </w:p>
    <w:p>
      <w:pPr>
        <w:pStyle w:val="Heading1"/>
      </w:pPr>
      <w:r>
        <w:t>Kết quả học tập</w:t>
      </w:r>
    </w:p>
    <w:tbl>
      <w:tblPr>
        <w:tblW w:type="auto" w:w="0"/>
        <w:tblLook w:firstColumn="1" w:firstRow="1" w:lastColumn="0" w:lastRow="0" w:noHBand="0" w:noVBand="1" w:val="04A0"/>
      </w:tblPr>
      <w:tblGrid>
        <w:gridCol w:w="2160"/>
        <w:gridCol w:w="2160"/>
        <w:gridCol w:w="2160"/>
        <w:gridCol w:w="2160"/>
      </w:tblGrid>
      <w:tr>
        <w:tc>
          <w:tcPr>
            <w:tcW w:type="dxa" w:w="2160"/>
          </w:tcPr>
          <w:p>
            <w:r>
              <w:t>Môn học</w:t>
            </w:r>
          </w:p>
        </w:tc>
        <w:tc>
          <w:tcPr>
            <w:tcW w:type="dxa" w:w="2160"/>
          </w:tcPr>
          <w:p>
            <w:r>
              <w:t>Điểm giữa kỳ</w:t>
            </w:r>
          </w:p>
        </w:tc>
        <w:tc>
          <w:tcPr>
            <w:tcW w:type="dxa" w:w="2160"/>
          </w:tcPr>
          <w:p>
            <w:r>
              <w:t>Điểm cuối kỳ</w:t>
            </w:r>
          </w:p>
        </w:tc>
        <w:tc>
          <w:tcPr>
            <w:tcW w:type="dxa" w:w="2160"/>
          </w:tcPr>
          <w:p>
            <w:r>
              <w:t>Điểm trung bình</w:t>
            </w:r>
          </w:p>
        </w:tc>
      </w:tr>
      <w:tr>
        <w:tc>
          <w:tcPr>
            <w:tcW w:type="dxa" w:w="2160"/>
          </w:tcPr>
          <w:p>
            <w:r>
              <w:t>Toán</w:t>
            </w:r>
          </w:p>
        </w:tc>
        <w:tc>
          <w:tcPr>
            <w:tcW w:type="dxa" w:w="2160"/>
          </w:tcPr>
          <w:p>
            <w:r>
              <w:t>8.0</w:t>
            </w:r>
          </w:p>
        </w:tc>
        <w:tc>
          <w:tcPr>
            <w:tcW w:type="dxa" w:w="2160"/>
          </w:tcPr>
          <w:p>
            <w:r>
              <w:t>8.5</w:t>
            </w:r>
          </w:p>
        </w:tc>
        <w:tc>
          <w:tcPr>
            <w:tcW w:type="dxa" w:w="2160"/>
          </w:tcPr>
          <w:p>
            <w:r>
              <w:t>8.25</w:t>
            </w:r>
          </w:p>
        </w:tc>
      </w:tr>
      <w:tr>
        <w:tc>
          <w:tcPr>
            <w:tcW w:type="dxa" w:w="2160"/>
          </w:tcPr>
          <w:p>
            <w:r>
              <w:t>Lý</w:t>
            </w:r>
          </w:p>
        </w:tc>
        <w:tc>
          <w:tcPr>
            <w:tcW w:type="dxa" w:w="2160"/>
          </w:tcPr>
          <w:p>
            <w:r>
              <w:t>7.5</w:t>
            </w:r>
          </w:p>
        </w:tc>
        <w:tc>
          <w:tcPr>
            <w:tcW w:type="dxa" w:w="2160"/>
          </w:tcPr>
          <w:p>
            <w:r>
              <w:t>8.0</w:t>
            </w:r>
          </w:p>
        </w:tc>
        <w:tc>
          <w:tcPr>
            <w:tcW w:type="dxa" w:w="2160"/>
          </w:tcPr>
          <w:p>
            <w:r>
              <w:t>7.75</w:t>
            </w:r>
          </w:p>
        </w:tc>
      </w:tr>
      <w:tr>
        <w:tc>
          <w:tcPr>
            <w:tcW w:type="dxa" w:w="2160"/>
          </w:tcPr>
          <w:p>
            <w:r>
              <w:t>Hóa</w:t>
            </w:r>
          </w:p>
        </w:tc>
        <w:tc>
          <w:tcPr>
            <w:tcW w:type="dxa" w:w="2160"/>
          </w:tcPr>
          <w:p>
            <w:r>
              <w:t>7.0</w:t>
            </w:r>
          </w:p>
        </w:tc>
        <w:tc>
          <w:tcPr>
            <w:tcW w:type="dxa" w:w="2160"/>
          </w:tcPr>
          <w:p>
            <w:r>
              <w:t>7.5</w:t>
            </w:r>
          </w:p>
        </w:tc>
        <w:tc>
          <w:tcPr>
            <w:tcW w:type="dxa" w:w="2160"/>
          </w:tcPr>
          <w:p>
            <w:r>
              <w:t>7.25</w:t>
            </w:r>
          </w:p>
        </w:tc>
      </w:tr>
      <w:tr>
        <w:tc>
          <w:tcPr>
            <w:tcW w:type="dxa" w:w="2160"/>
          </w:tcPr>
          <w:p>
            <w:r>
              <w:t>Tin</w:t>
            </w:r>
          </w:p>
        </w:tc>
        <w:tc>
          <w:tcPr>
            <w:tcW w:type="dxa" w:w="2160"/>
          </w:tcPr>
          <w:p>
            <w:r>
              <w:t>9.0</w:t>
            </w:r>
          </w:p>
        </w:tc>
        <w:tc>
          <w:tcPr>
            <w:tcW w:type="dxa" w:w="2160"/>
          </w:tcPr>
          <w:p>
            <w:r>
              <w:t>9.5</w:t>
            </w:r>
          </w:p>
        </w:tc>
        <w:tc>
          <w:tcPr>
            <w:tcW w:type="dxa" w:w="2160"/>
          </w:tcPr>
          <w:p>
            <w:r>
              <w:t>9.25</w:t>
            </w:r>
          </w:p>
        </w:tc>
      </w:tr>
    </w:tbl>
    <w:p>
      <w:pPr>
        <w:pStyle w:val="Heading1"/>
      </w:pPr>
      <w:r>
        <w:t>Nhận xét</w:t>
      </w:r>
    </w:p>
    <w:p>
      <w:r>
        <w:t>Qua kết quả học tập, có thể thấy sinh viên đã đạt thành tích khá tốt ở hầu hết các môn học. Đặc biệt, môn Tin học có điểm số nổi bật nhờ sự chăm chỉ và niềm yêu thích công nghệ. Tuy nhiên, vẫn cần cải thiện thêm ở các môn Lý và Hóa để cân bằng kết quả học tập. Nhìn chung, học kỳ I đã mang lại nhiều trải nghiệm quý báu, tạo nền tảng vững chắc cho học kỳ tiếp theo.</w:t>
      </w:r>
    </w:p>
    <w:p>
      <w:r>
        <w:drawing>
          <wp:inline xmlns:a="http://schemas.openxmlformats.org/drawingml/2006/main" xmlns:pic="http://schemas.openxmlformats.org/drawingml/2006/picture">
            <wp:extent cx="2743200" cy="1645920"/>
            <wp:docPr id="1" name="Picture 1"/>
            <wp:cNvGraphicFramePr>
              <a:graphicFrameLocks noChangeAspect="1"/>
            </wp:cNvGraphicFramePr>
            <a:graphic>
              <a:graphicData uri="http://schemas.openxmlformats.org/drawingml/2006/picture">
                <pic:pic>
                  <pic:nvPicPr>
                    <pic:cNvPr id="0" name="diem_trung_binh.png"/>
                    <pic:cNvPicPr/>
                  </pic:nvPicPr>
                  <pic:blipFill>
                    <a:blip r:embed="rId9"/>
                    <a:stretch>
                      <a:fillRect/>
                    </a:stretch>
                  </pic:blipFill>
                  <pic:spPr>
                    <a:xfrm>
                      <a:off x="0" y="0"/>
                      <a:ext cx="2743200" cy="164592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8"/>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