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D4ED8"/>
          <w:sz w:val="44"/>
          <w:szCs w:val="44"/>
        </w:rPr>
        <w:t xml:space="preserve">GlycoDepot × GoHighLevel</w:t>
      </w:r>
    </w:p>
    <w:p>
      <w:pPr>
        <w:spacing w:before="200"/>
        <w:jc w:val="center"/>
      </w:pPr>
      <w:r>
        <w:rPr>
          <w:b/>
          <w:bCs/>
          <w:sz w:val="32"/>
          <w:szCs w:val="32"/>
        </w:rPr>
        <w:t xml:space="preserve">Milestone 1A — Automation Build Guide</w:t>
      </w:r>
    </w:p>
    <w:p>
      <w:pPr>
        <w:spacing w:before="100"/>
        <w:jc w:val="center"/>
      </w:pPr>
      <w:r>
        <w:rPr>
          <w:color w:val="6B7280"/>
          <w:sz w:val="22"/>
          <w:szCs w:val="22"/>
        </w:rPr>
        <w:t xml:space="preserve">Step-by-step manual build instructions for the 11 remaining workflows</w:t>
      </w:r>
    </w:p>
    <w:p>
      <w:pPr>
        <w:spacing w:before="600"/>
        <w:jc w:val="center"/>
      </w:pPr>
      <w:r>
        <w:rPr>
          <w:color w:val="6B7280"/>
          <w:sz w:val="20"/>
          <w:szCs w:val="20"/>
        </w:rPr>
        <w:t xml:space="preserve">Location: GlycoDepot  ·  Location ID: 8WV7PDrONMk3WR8fwyNo</w:t>
      </w:r>
    </w:p>
    <w:p>
      <w:pPr>
        <w:spacing w:before="100"/>
        <w:jc w:val="center"/>
      </w:pPr>
      <w:r>
        <w:rPr>
          <w:color w:val="6B7280"/>
          <w:sz w:val="20"/>
          <w:szCs w:val="20"/>
        </w:rPr>
        <w:t xml:space="preserve">Pipeline: RFQ Pipeline (7 stages, already live)</w:t>
      </w:r>
    </w:p>
    <w:p>
      <w:r>
        <w:br w:type="page"/>
      </w:r>
    </w:p>
    <w:p>
      <w:pPr>
        <w:pStyle w:val="Heading1"/>
        <w:spacing w:after="200" w:before="400"/>
      </w:pPr>
      <w:r>
        <w:t xml:space="preserve">0. Before You Start</w:t>
      </w:r>
    </w:p>
    <w:p>
      <w:pPr>
        <w:spacing w:after="120"/>
      </w:pPr>
      <w:r>
        <w:t xml:space="preserve">The RFQ Pipeline and all 11 SOW §3.2 custom fields already exist and are verified live in this GHL location. This guide only covers the automation workflows — the pipeline/stage/field setup is done, do not recreate it.</w:t>
      </w:r>
    </w:p>
    <w:p>
      <w:pPr>
        <w:pStyle w:val="Heading2"/>
        <w:spacing w:after="150" w:before="300"/>
      </w:pPr>
      <w:r>
        <w:t xml:space="preserve">0.1 What's already built (do not rebuild)</w:t>
      </w:r>
    </w:p>
    <w:p>
      <w:pPr>
        <w:pStyle w:val="ListParagraph"/>
        <w:numPr>
          <w:ilvl w:val="0"/>
          <w:numId w:val="2"/>
        </w:numPr>
        <w:spacing w:after="60"/>
      </w:pPr>
      <w:r>
        <w:t xml:space="preserve">Pipeline “RFQ Pipeline” — 7 stages: New RFQ → Under Review → Quote Sent → Negotiation / PO → Quotation Accepted → Paid &amp; Won → Abandoned.</w:t>
      </w:r>
    </w:p>
    <w:p>
      <w:pPr>
        <w:pStyle w:val="ListParagraph"/>
        <w:numPr>
          <w:ilvl w:val="0"/>
          <w:numId w:val="2"/>
        </w:numPr>
        <w:spacing w:after="60"/>
      </w:pPr>
      <w:r>
        <w:t xml:space="preserve">11 contact-level custom fields (see reference table in §0.4).</w:t>
      </w:r>
    </w:p>
    <w:p>
      <w:pPr>
        <w:pStyle w:val="ListParagraph"/>
        <w:numPr>
          <w:ilvl w:val="0"/>
          <w:numId w:val="2"/>
        </w:numPr>
        <w:spacing w:after="60"/>
      </w:pPr>
      <w:r>
        <w:t xml:space="preserve">Workflow “GlycoDepot - RFQ Intake and Follow-Up” (published) — this is Automation #1, “New RFQ”. Open it first and confirm it: creates/updates the contact + opportunity at New RFQ, maps all §3.2 fields, tags RFQ-New + Cat-&lt;Category&gt;, and creates a “Review new RFQ” task due in 4 hours. If any of that is missing, patch it before moving on — every workflow below assumes it already ran.</w:t>
      </w:r>
    </w:p>
    <w:p>
      <w:pPr>
        <w:pStyle w:val="Heading2"/>
        <w:spacing w:after="150" w:before="300"/>
      </w:pPr>
      <w:r>
        <w:t xml:space="preserve">0.2 Non-negotiable rule (SOW §7)</w:t>
      </w:r>
    </w:p>
    <w:p>
      <w:pPr>
        <w:pBdr>
          <w:left w:val="single" w:color="B91C1C" w:sz="24" w:space="8"/>
        </w:pBdr>
        <w:spacing w:after="150" w:before="100"/>
        <w:ind w:left="200"/>
      </w:pPr>
      <w:r>
        <w:rPr>
          <w:b/>
          <w:bCs/>
          <w:color w:val="B91C1C"/>
        </w:rPr>
        <w:t xml:space="preserve">Ownership boundary: </w:t>
      </w:r>
      <w:r>
        <w:t xml:space="preserve">No workflow below may send a quotation, payment link, or invoice to the customer. BysonHub owns all of that. Every customer-facing email in this guide is a nudge/reminder/nurture message only — never a re-send of pricing or payment info.</w:t>
      </w:r>
    </w:p>
    <w:p>
      <w:pPr>
        <w:pStyle w:val="Heading2"/>
        <w:spacing w:after="150" w:before="300"/>
      </w:pPr>
      <w:r>
        <w:t xml:space="preserve">0.3 How the 11 workflows hand off to each other</w:t>
      </w:r>
    </w:p>
    <w:p>
      <w:pPr>
        <w:spacing w:after="120"/>
      </w:pPr>
      <w:r>
        <w:t xml:space="preserve">Each workflow triggers off a TAG, not directly off the pipeline stage change, except where noted. This is the standard GHL pattern: a “stage-entry” workflow adds a tag, and separate “Day N” workflows trigger off that tag being added, so each piece can be edited/paused independently without touching a single giant workflow. The chain runs:</w:t>
      </w:r>
    </w:p>
    <w:p>
      <w:pPr>
        <w:pStyle w:val="ListParagraph"/>
        <w:numPr>
          <w:ilvl w:val="0"/>
          <w:numId w:val="2"/>
        </w:numPr>
        <w:spacing w:after="60"/>
      </w:pPr>
      <w:r>
        <w:t xml:space="preserve">New RFQ (existing) → tags RFQ-New → rep works the lead → rep manually moves opportunity to Under Review</w:t>
      </w:r>
    </w:p>
    <w:p>
      <w:pPr>
        <w:pStyle w:val="ListParagraph"/>
        <w:numPr>
          <w:ilvl w:val="0"/>
          <w:numId w:val="2"/>
        </w:numPr>
        <w:spacing w:after="60"/>
      </w:pPr>
      <w:r>
        <w:t xml:space="preserve">Under Review (Workflow 2) → tags Under-Review → rep moves to Quote Sent once quote is sent (BysonHub side)</w:t>
      </w:r>
    </w:p>
    <w:p>
      <w:pPr>
        <w:pStyle w:val="ListParagraph"/>
        <w:numPr>
          <w:ilvl w:val="0"/>
          <w:numId w:val="2"/>
        </w:numPr>
        <w:spacing w:after="60"/>
      </w:pPr>
      <w:r>
        <w:t xml:space="preserve">Quote Sent (Workflows 3–5) → tags Quote-Sent → nudges fire on Day 2 / Day 3 → rep moves to Negotiation, Quotation Accepted, or opportunity goes Abandoned automatically on inactivity</w:t>
      </w:r>
    </w:p>
    <w:p>
      <w:pPr>
        <w:pStyle w:val="ListParagraph"/>
        <w:numPr>
          <w:ilvl w:val="0"/>
          <w:numId w:val="2"/>
        </w:numPr>
        <w:spacing w:after="60"/>
      </w:pPr>
      <w:r>
        <w:t xml:space="preserve">Negotiation (Workflow 6) → tags Negotiation → pauses nudges</w:t>
      </w:r>
    </w:p>
    <w:p>
      <w:pPr>
        <w:pStyle w:val="ListParagraph"/>
        <w:numPr>
          <w:ilvl w:val="0"/>
          <w:numId w:val="2"/>
        </w:numPr>
        <w:spacing w:after="60"/>
      </w:pPr>
      <w:r>
        <w:t xml:space="preserve">Quotation Accepted (Workflow 7) → tags Quotation-Accepted → stops nudges, awaits payment</w:t>
      </w:r>
    </w:p>
    <w:p>
      <w:pPr>
        <w:pStyle w:val="ListParagraph"/>
        <w:numPr>
          <w:ilvl w:val="0"/>
          <w:numId w:val="2"/>
        </w:numPr>
        <w:spacing w:after="60"/>
      </w:pPr>
      <w:r>
        <w:t xml:space="preserve">Abandoned (Workflow 8) → fires automatically on inactivity, no manual trigger needed</w:t>
      </w:r>
    </w:p>
    <w:p>
      <w:pPr>
        <w:pStyle w:val="ListParagraph"/>
        <w:numPr>
          <w:ilvl w:val="0"/>
          <w:numId w:val="2"/>
        </w:numPr>
        <w:spacing w:after="60"/>
      </w:pPr>
      <w:r>
        <w:t xml:space="preserve">Paid &amp; Won (Workflows 9–11) → tags Customer + Closed-Won → post-purchase nurture over 30 days</w:t>
      </w:r>
    </w:p>
    <w:p>
      <w:pPr>
        <w:spacing w:after="120"/>
      </w:pPr>
      <w:r>
        <w:t xml:space="preserve">Every “Day N nudge” workflow re-checks the opportunity's current stage/tag before sending — this stops a stale nudge from firing after the deal has already moved on. Don't skip that step when building; it's called out explicitly below.</w:t>
      </w:r>
    </w:p>
    <w:p>
      <w:pPr>
        <w:pStyle w:val="Heading2"/>
        <w:spacing w:after="150" w:before="300"/>
      </w:pPr>
      <w:r>
        <w:t xml:space="preserve">0.4 Reference — tags used across these workflows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4000"/>
      </w:tblGrid>
      <w:tr>
        <w:trPr>
          <w:tblHeader/>
        </w:trPr>
        <w:tc>
          <w:tcPr>
            <w:tcW w:type="dxa" w:w="3200"/>
            <w:shd w:fill="1D4ED8" w:val="clear"/>
            <w:tcMar>
              <w:top w:type="dxa" w:w="80"/>
              <w:left w:type="dxa" w:w="100"/>
              <w:bottom w:type="dxa" w:w="80"/>
              <w:right w:type="dxa" w:w="100"/>
            </w:tcMar>
          </w:tcPr>
          <w:p>
            <w:r>
              <w:rPr>
                <w:b/>
                <w:bCs/>
                <w:color w:val="FFFFFF"/>
              </w:rPr>
              <w:t xml:space="preserve">Tag</w:t>
            </w:r>
          </w:p>
        </w:tc>
        <w:tc>
          <w:tcPr>
            <w:tcW w:type="dxa" w:w="2600"/>
            <w:shd w:fill="1D4ED8" w:val="clear"/>
            <w:tcMar>
              <w:top w:type="dxa" w:w="80"/>
              <w:left w:type="dxa" w:w="100"/>
              <w:bottom w:type="dxa" w:w="80"/>
              <w:right w:type="dxa" w:w="100"/>
            </w:tcMar>
          </w:tcPr>
          <w:p>
            <w:r>
              <w:rPr>
                <w:b/>
                <w:bCs/>
                <w:color w:val="FFFFFF"/>
              </w:rPr>
              <w:t xml:space="preserve">Applied by</w:t>
            </w:r>
          </w:p>
        </w:tc>
        <w:tc>
          <w:tcPr>
            <w:tcW w:type="dxa" w:w="4000"/>
            <w:shd w:fill="1D4ED8" w:val="clear"/>
            <w:tcMar>
              <w:top w:type="dxa" w:w="80"/>
              <w:left w:type="dxa" w:w="100"/>
              <w:bottom w:type="dxa" w:w="80"/>
              <w:right w:type="dxa" w:w="100"/>
            </w:tcMar>
          </w:tcPr>
          <w:p>
            <w:r>
              <w:rPr>
                <w:b/>
                <w:bCs/>
                <w:color w:val="FFFFFF"/>
              </w:rPr>
              <w:t xml:space="preserve">Meaning</w:t>
            </w:r>
          </w:p>
        </w:tc>
      </w:tr>
      <w:tr>
        <w:tc>
          <w:tcPr>
            <w:tcW w:type="dxa" w:w="3200"/>
            <w:shd w:fill="F8FAFC" w:val="clear"/>
            <w:tcMar>
              <w:top w:type="dxa" w:w="80"/>
              <w:left w:type="dxa" w:w="100"/>
              <w:bottom w:type="dxa" w:w="80"/>
              <w:right w:type="dxa" w:w="100"/>
            </w:tcMar>
          </w:tcPr>
          <w:p>
            <w:r>
              <w:t xml:space="preserve">RFQ-New</w:t>
            </w:r>
          </w:p>
        </w:tc>
        <w:tc>
          <w:tcPr>
            <w:tcW w:type="dxa" w:w="2600"/>
            <w:shd w:fill="F8FAFC" w:val="clear"/>
            <w:tcMar>
              <w:top w:type="dxa" w:w="80"/>
              <w:left w:type="dxa" w:w="100"/>
              <w:bottom w:type="dxa" w:w="80"/>
              <w:right w:type="dxa" w:w="100"/>
            </w:tcMar>
          </w:tcPr>
          <w:p>
            <w:r>
              <w:t xml:space="preserve">Workflow 1 (existing)</w:t>
            </w:r>
          </w:p>
        </w:tc>
        <w:tc>
          <w:tcPr>
            <w:tcW w:type="dxa" w:w="4000"/>
            <w:shd w:fill="F8FAFC" w:val="clear"/>
            <w:tcMar>
              <w:top w:type="dxa" w:w="80"/>
              <w:left w:type="dxa" w:w="100"/>
              <w:bottom w:type="dxa" w:w="80"/>
              <w:right w:type="dxa" w:w="100"/>
            </w:tcMar>
          </w:tcPr>
          <w:p>
            <w:r>
              <w:t xml:space="preserve">Fresh RFQ, not yet reviewed</w:t>
            </w:r>
          </w:p>
        </w:tc>
      </w:tr>
      <w:tr>
        <w:tc>
          <w:tcPr>
            <w:tcW w:type="dxa" w:w="3200"/>
            <w:shd w:fill="FFFFFF" w:val="clear"/>
            <w:tcMar>
              <w:top w:type="dxa" w:w="80"/>
              <w:left w:type="dxa" w:w="100"/>
              <w:bottom w:type="dxa" w:w="80"/>
              <w:right w:type="dxa" w:w="100"/>
            </w:tcMar>
          </w:tcPr>
          <w:p>
            <w:r>
              <w:t xml:space="preserve">Cat-Glycochemistry / Cat-Glycobiology / Cat-Glyco-analysis</w:t>
            </w:r>
          </w:p>
        </w:tc>
        <w:tc>
          <w:tcPr>
            <w:tcW w:type="dxa" w:w="2600"/>
            <w:shd w:fill="FFFFFF" w:val="clear"/>
            <w:tcMar>
              <w:top w:type="dxa" w:w="80"/>
              <w:left w:type="dxa" w:w="100"/>
              <w:bottom w:type="dxa" w:w="80"/>
              <w:right w:type="dxa" w:w="100"/>
            </w:tcMar>
          </w:tcPr>
          <w:p>
            <w:r>
              <w:t xml:space="preserve">Workflow 1 (existing)</w:t>
            </w:r>
          </w:p>
        </w:tc>
        <w:tc>
          <w:tcPr>
            <w:tcW w:type="dxa" w:w="4000"/>
            <w:shd w:fill="FFFFFF" w:val="clear"/>
            <w:tcMar>
              <w:top w:type="dxa" w:w="80"/>
              <w:left w:type="dxa" w:w="100"/>
              <w:bottom w:type="dxa" w:w="80"/>
              <w:right w:type="dxa" w:w="100"/>
            </w:tcMar>
          </w:tcPr>
          <w:p>
            <w:r>
              <w:t xml:space="preserve">Product category interest, one per RFQ</w:t>
            </w:r>
          </w:p>
        </w:tc>
      </w:tr>
      <w:tr>
        <w:tc>
          <w:tcPr>
            <w:tcW w:type="dxa" w:w="3200"/>
            <w:shd w:fill="F8FAFC" w:val="clear"/>
            <w:tcMar>
              <w:top w:type="dxa" w:w="80"/>
              <w:left w:type="dxa" w:w="100"/>
              <w:bottom w:type="dxa" w:w="80"/>
              <w:right w:type="dxa" w:w="100"/>
            </w:tcMar>
          </w:tcPr>
          <w:p>
            <w:r>
              <w:t xml:space="preserve">Under-Review</w:t>
            </w:r>
          </w:p>
        </w:tc>
        <w:tc>
          <w:tcPr>
            <w:tcW w:type="dxa" w:w="2600"/>
            <w:shd w:fill="F8FAFC" w:val="clear"/>
            <w:tcMar>
              <w:top w:type="dxa" w:w="80"/>
              <w:left w:type="dxa" w:w="100"/>
              <w:bottom w:type="dxa" w:w="80"/>
              <w:right w:type="dxa" w:w="100"/>
            </w:tcMar>
          </w:tcPr>
          <w:p>
            <w:r>
              <w:t xml:space="preserve">Workflow 2</w:t>
            </w:r>
          </w:p>
        </w:tc>
        <w:tc>
          <w:tcPr>
            <w:tcW w:type="dxa" w:w="4000"/>
            <w:shd w:fill="F8FAFC" w:val="clear"/>
            <w:tcMar>
              <w:top w:type="dxa" w:w="80"/>
              <w:left w:type="dxa" w:w="100"/>
              <w:bottom w:type="dxa" w:w="80"/>
              <w:right w:type="dxa" w:w="100"/>
            </w:tcMar>
          </w:tcPr>
          <w:p>
            <w:r>
              <w:t xml:space="preserve">Rep is actively reviewing</w:t>
            </w:r>
          </w:p>
        </w:tc>
      </w:tr>
      <w:tr>
        <w:tc>
          <w:tcPr>
            <w:tcW w:type="dxa" w:w="3200"/>
            <w:shd w:fill="FFFFFF" w:val="clear"/>
            <w:tcMar>
              <w:top w:type="dxa" w:w="80"/>
              <w:left w:type="dxa" w:w="100"/>
              <w:bottom w:type="dxa" w:w="80"/>
              <w:right w:type="dxa" w:w="100"/>
            </w:tcMar>
          </w:tcPr>
          <w:p>
            <w:r>
              <w:t xml:space="preserve">Quote-Sent</w:t>
            </w:r>
          </w:p>
        </w:tc>
        <w:tc>
          <w:tcPr>
            <w:tcW w:type="dxa" w:w="2600"/>
            <w:shd w:fill="FFFFFF" w:val="clear"/>
            <w:tcMar>
              <w:top w:type="dxa" w:w="80"/>
              <w:left w:type="dxa" w:w="100"/>
              <w:bottom w:type="dxa" w:w="80"/>
              <w:right w:type="dxa" w:w="100"/>
            </w:tcMar>
          </w:tcPr>
          <w:p>
            <w:r>
              <w:t xml:space="preserve">Workflow 3</w:t>
            </w:r>
          </w:p>
        </w:tc>
        <w:tc>
          <w:tcPr>
            <w:tcW w:type="dxa" w:w="4000"/>
            <w:shd w:fill="FFFFFF" w:val="clear"/>
            <w:tcMar>
              <w:top w:type="dxa" w:w="80"/>
              <w:left w:type="dxa" w:w="100"/>
              <w:bottom w:type="dxa" w:w="80"/>
              <w:right w:type="dxa" w:w="100"/>
            </w:tcMar>
          </w:tcPr>
          <w:p>
            <w:r>
              <w:t xml:space="preserve">Quote delivered by BysonHub, nudge clock started</w:t>
            </w:r>
          </w:p>
        </w:tc>
      </w:tr>
      <w:tr>
        <w:tc>
          <w:tcPr>
            <w:tcW w:type="dxa" w:w="3200"/>
            <w:shd w:fill="F8FAFC" w:val="clear"/>
            <w:tcMar>
              <w:top w:type="dxa" w:w="80"/>
              <w:left w:type="dxa" w:w="100"/>
              <w:bottom w:type="dxa" w:w="80"/>
              <w:right w:type="dxa" w:w="100"/>
            </w:tcMar>
          </w:tcPr>
          <w:p>
            <w:r>
              <w:t xml:space="preserve">Negotiation</w:t>
            </w:r>
          </w:p>
        </w:tc>
        <w:tc>
          <w:tcPr>
            <w:tcW w:type="dxa" w:w="2600"/>
            <w:shd w:fill="F8FAFC" w:val="clear"/>
            <w:tcMar>
              <w:top w:type="dxa" w:w="80"/>
              <w:left w:type="dxa" w:w="100"/>
              <w:bottom w:type="dxa" w:w="80"/>
              <w:right w:type="dxa" w:w="100"/>
            </w:tcMar>
          </w:tcPr>
          <w:p>
            <w:r>
              <w:t xml:space="preserve">Workflow 6</w:t>
            </w:r>
          </w:p>
        </w:tc>
        <w:tc>
          <w:tcPr>
            <w:tcW w:type="dxa" w:w="4000"/>
            <w:shd w:fill="F8FAFC" w:val="clear"/>
            <w:tcMar>
              <w:top w:type="dxa" w:w="80"/>
              <w:left w:type="dxa" w:w="100"/>
              <w:bottom w:type="dxa" w:w="80"/>
              <w:right w:type="dxa" w:w="100"/>
            </w:tcMar>
          </w:tcPr>
          <w:p>
            <w:r>
              <w:t xml:space="preserve">Customer is negotiating terms/PO</w:t>
            </w:r>
          </w:p>
        </w:tc>
      </w:tr>
      <w:tr>
        <w:tc>
          <w:tcPr>
            <w:tcW w:type="dxa" w:w="3200"/>
            <w:shd w:fill="FFFFFF" w:val="clear"/>
            <w:tcMar>
              <w:top w:type="dxa" w:w="80"/>
              <w:left w:type="dxa" w:w="100"/>
              <w:bottom w:type="dxa" w:w="80"/>
              <w:right w:type="dxa" w:w="100"/>
            </w:tcMar>
          </w:tcPr>
          <w:p>
            <w:r>
              <w:t xml:space="preserve">Quotation-Accepted</w:t>
            </w:r>
          </w:p>
        </w:tc>
        <w:tc>
          <w:tcPr>
            <w:tcW w:type="dxa" w:w="2600"/>
            <w:shd w:fill="FFFFFF" w:val="clear"/>
            <w:tcMar>
              <w:top w:type="dxa" w:w="80"/>
              <w:left w:type="dxa" w:w="100"/>
              <w:bottom w:type="dxa" w:w="80"/>
              <w:right w:type="dxa" w:w="100"/>
            </w:tcMar>
          </w:tcPr>
          <w:p>
            <w:r>
              <w:t xml:space="preserve">Workflow 7</w:t>
            </w:r>
          </w:p>
        </w:tc>
        <w:tc>
          <w:tcPr>
            <w:tcW w:type="dxa" w:w="4000"/>
            <w:shd w:fill="FFFFFF" w:val="clear"/>
            <w:tcMar>
              <w:top w:type="dxa" w:w="80"/>
              <w:left w:type="dxa" w:w="100"/>
              <w:bottom w:type="dxa" w:w="80"/>
              <w:right w:type="dxa" w:w="100"/>
            </w:tcMar>
          </w:tcPr>
          <w:p>
            <w:r>
              <w:t xml:space="preserve">Customer accepted, awaiting payment</w:t>
            </w:r>
          </w:p>
        </w:tc>
      </w:tr>
      <w:tr>
        <w:tc>
          <w:tcPr>
            <w:tcW w:type="dxa" w:w="3200"/>
            <w:shd w:fill="F8FAFC" w:val="clear"/>
            <w:tcMar>
              <w:top w:type="dxa" w:w="80"/>
              <w:left w:type="dxa" w:w="100"/>
              <w:bottom w:type="dxa" w:w="80"/>
              <w:right w:type="dxa" w:w="100"/>
            </w:tcMar>
          </w:tcPr>
          <w:p>
            <w:r>
              <w:t xml:space="preserve">Nurture-Abandoned</w:t>
            </w:r>
          </w:p>
        </w:tc>
        <w:tc>
          <w:tcPr>
            <w:tcW w:type="dxa" w:w="2600"/>
            <w:shd w:fill="F8FAFC" w:val="clear"/>
            <w:tcMar>
              <w:top w:type="dxa" w:w="80"/>
              <w:left w:type="dxa" w:w="100"/>
              <w:bottom w:type="dxa" w:w="80"/>
              <w:right w:type="dxa" w:w="100"/>
            </w:tcMar>
          </w:tcPr>
          <w:p>
            <w:r>
              <w:t xml:space="preserve">Workflow 8</w:t>
            </w:r>
          </w:p>
        </w:tc>
        <w:tc>
          <w:tcPr>
            <w:tcW w:type="dxa" w:w="4000"/>
            <w:shd w:fill="F8FAFC" w:val="clear"/>
            <w:tcMar>
              <w:top w:type="dxa" w:w="80"/>
              <w:left w:type="dxa" w:w="100"/>
              <w:bottom w:type="dxa" w:w="80"/>
              <w:right w:type="dxa" w:w="100"/>
            </w:tcMar>
          </w:tcPr>
          <w:p>
            <w:r>
              <w:t xml:space="preserve">No reply after Quote Sent Day 3, entered long-term nurture</w:t>
            </w:r>
          </w:p>
        </w:tc>
      </w:tr>
      <w:tr>
        <w:tc>
          <w:tcPr>
            <w:tcW w:type="dxa" w:w="3200"/>
            <w:shd w:fill="FFFFFF" w:val="clear"/>
            <w:tcMar>
              <w:top w:type="dxa" w:w="80"/>
              <w:left w:type="dxa" w:w="100"/>
              <w:bottom w:type="dxa" w:w="80"/>
              <w:right w:type="dxa" w:w="100"/>
            </w:tcMar>
          </w:tcPr>
          <w:p>
            <w:r>
              <w:t xml:space="preserve">Customer / Closed-Won</w:t>
            </w:r>
          </w:p>
        </w:tc>
        <w:tc>
          <w:tcPr>
            <w:tcW w:type="dxa" w:w="2600"/>
            <w:shd w:fill="FFFFFF" w:val="clear"/>
            <w:tcMar>
              <w:top w:type="dxa" w:w="80"/>
              <w:left w:type="dxa" w:w="100"/>
              <w:bottom w:type="dxa" w:w="80"/>
              <w:right w:type="dxa" w:w="100"/>
            </w:tcMar>
          </w:tcPr>
          <w:p>
            <w:r>
              <w:t xml:space="preserve">Workflow 9</w:t>
            </w:r>
          </w:p>
        </w:tc>
        <w:tc>
          <w:tcPr>
            <w:tcW w:type="dxa" w:w="4000"/>
            <w:shd w:fill="FFFFFF" w:val="clear"/>
            <w:tcMar>
              <w:top w:type="dxa" w:w="80"/>
              <w:left w:type="dxa" w:w="100"/>
              <w:bottom w:type="dxa" w:w="80"/>
              <w:right w:type="dxa" w:w="100"/>
            </w:tcMar>
          </w:tcPr>
          <w:p>
            <w:r>
              <w:t xml:space="preserve">Order paid, deal won</w:t>
            </w:r>
          </w:p>
        </w:tc>
      </w:tr>
    </w:tbl>
    <w:p>
      <w:pPr>
        <w:pStyle w:val="Heading2"/>
        <w:spacing w:after="150" w:before="300"/>
      </w:pPr>
      <w:r>
        <w:t xml:space="preserve">0.5 Reference — custom fields you'll map (all model: Contact)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800"/>
      </w:tblGrid>
      <w:tr>
        <w:trPr>
          <w:tblHeader/>
        </w:trPr>
        <w:tc>
          <w:tcPr>
            <w:tcW w:type="dxa" w:w="3400"/>
            <w:shd w:fill="1D4ED8" w:val="clear"/>
            <w:tcMar>
              <w:top w:type="dxa" w:w="80"/>
              <w:left w:type="dxa" w:w="100"/>
              <w:bottom w:type="dxa" w:w="80"/>
              <w:right w:type="dxa" w:w="100"/>
            </w:tcMar>
          </w:tcPr>
          <w:p>
            <w:r>
              <w:rPr>
                <w:b/>
                <w:bCs/>
                <w:color w:val="FFFFFF"/>
              </w:rPr>
              <w:t xml:space="preserve">Field name</w:t>
            </w:r>
          </w:p>
        </w:tc>
        <w:tc>
          <w:tcPr>
            <w:tcW w:type="dxa" w:w="2600"/>
            <w:shd w:fill="1D4ED8" w:val="clear"/>
            <w:tcMar>
              <w:top w:type="dxa" w:w="80"/>
              <w:left w:type="dxa" w:w="100"/>
              <w:bottom w:type="dxa" w:w="80"/>
              <w:right w:type="dxa" w:w="100"/>
            </w:tcMar>
          </w:tcPr>
          <w:p>
            <w:r>
              <w:rPr>
                <w:b/>
                <w:bCs/>
                <w:color w:val="FFFFFF"/>
              </w:rPr>
              <w:t xml:space="preserve">Type</w:t>
            </w:r>
          </w:p>
        </w:tc>
        <w:tc>
          <w:tcPr>
            <w:tcW w:type="dxa" w:w="3800"/>
            <w:shd w:fill="1D4ED8" w:val="clear"/>
            <w:tcMar>
              <w:top w:type="dxa" w:w="80"/>
              <w:left w:type="dxa" w:w="100"/>
              <w:bottom w:type="dxa" w:w="80"/>
              <w:right w:type="dxa" w:w="100"/>
            </w:tcMar>
          </w:tcPr>
          <w:p>
            <w:r>
              <w:rPr>
                <w:b/>
                <w:bCs/>
                <w:color w:val="FFFFFF"/>
              </w:rPr>
              <w:t xml:space="preserve">Field key</w:t>
            </w:r>
          </w:p>
        </w:tc>
      </w:tr>
      <w:tr>
        <w:tc>
          <w:tcPr>
            <w:tcW w:type="dxa" w:w="3400"/>
            <w:shd w:fill="F8FAFC" w:val="clear"/>
            <w:tcMar>
              <w:top w:type="dxa" w:w="80"/>
              <w:left w:type="dxa" w:w="100"/>
              <w:bottom w:type="dxa" w:w="80"/>
              <w:right w:type="dxa" w:w="100"/>
            </w:tcMar>
          </w:tcPr>
          <w:p>
            <w:r>
              <w:t xml:space="preserve">Product category interest</w:t>
            </w:r>
          </w:p>
        </w:tc>
        <w:tc>
          <w:tcPr>
            <w:tcW w:type="dxa" w:w="2600"/>
            <w:shd w:fill="F8FAFC" w:val="clear"/>
            <w:tcMar>
              <w:top w:type="dxa" w:w="80"/>
              <w:left w:type="dxa" w:w="100"/>
              <w:bottom w:type="dxa" w:w="80"/>
              <w:right w:type="dxa" w:w="100"/>
            </w:tcMar>
          </w:tcPr>
          <w:p>
            <w:r>
              <w:t xml:space="preserve">Multiple Options</w:t>
            </w:r>
          </w:p>
        </w:tc>
        <w:tc>
          <w:tcPr>
            <w:tcW w:type="dxa" w:w="3800"/>
            <w:shd w:fill="F8FAFC" w:val="clear"/>
            <w:tcMar>
              <w:top w:type="dxa" w:w="80"/>
              <w:left w:type="dxa" w:w="100"/>
              <w:bottom w:type="dxa" w:w="80"/>
              <w:right w:type="dxa" w:w="100"/>
            </w:tcMar>
          </w:tcPr>
          <w:p>
            <w:r>
              <w:t xml:space="preserve">contact.product_category_interest</w:t>
            </w:r>
          </w:p>
        </w:tc>
      </w:tr>
      <w:tr>
        <w:tc>
          <w:tcPr>
            <w:tcW w:type="dxa" w:w="3400"/>
            <w:shd w:fill="FFFFFF" w:val="clear"/>
            <w:tcMar>
              <w:top w:type="dxa" w:w="80"/>
              <w:left w:type="dxa" w:w="100"/>
              <w:bottom w:type="dxa" w:w="80"/>
              <w:right w:type="dxa" w:w="100"/>
            </w:tcMar>
          </w:tcPr>
          <w:p>
            <w:r>
              <w:t xml:space="preserve">Product details</w:t>
            </w:r>
          </w:p>
        </w:tc>
        <w:tc>
          <w:tcPr>
            <w:tcW w:type="dxa" w:w="2600"/>
            <w:shd w:fill="FFFFFF" w:val="clear"/>
            <w:tcMar>
              <w:top w:type="dxa" w:w="80"/>
              <w:left w:type="dxa" w:w="100"/>
              <w:bottom w:type="dxa" w:w="80"/>
              <w:right w:type="dxa" w:w="100"/>
            </w:tcMar>
          </w:tcPr>
          <w:p>
            <w:r>
              <w:t xml:space="preserve">Large Text</w:t>
            </w:r>
          </w:p>
        </w:tc>
        <w:tc>
          <w:tcPr>
            <w:tcW w:type="dxa" w:w="3800"/>
            <w:shd w:fill="FFFFFF" w:val="clear"/>
            <w:tcMar>
              <w:top w:type="dxa" w:w="80"/>
              <w:left w:type="dxa" w:w="100"/>
              <w:bottom w:type="dxa" w:w="80"/>
              <w:right w:type="dxa" w:w="100"/>
            </w:tcMar>
          </w:tcPr>
          <w:p>
            <w:r>
              <w:t xml:space="preserve">contact.product_details</w:t>
            </w:r>
          </w:p>
        </w:tc>
      </w:tr>
      <w:tr>
        <w:tc>
          <w:tcPr>
            <w:tcW w:type="dxa" w:w="3400"/>
            <w:shd w:fill="F8FAFC" w:val="clear"/>
            <w:tcMar>
              <w:top w:type="dxa" w:w="80"/>
              <w:left w:type="dxa" w:w="100"/>
              <w:bottom w:type="dxa" w:w="80"/>
              <w:right w:type="dxa" w:w="100"/>
            </w:tcMar>
          </w:tcPr>
          <w:p>
            <w:r>
              <w:t xml:space="preserve">BH Quotation ID</w:t>
            </w:r>
          </w:p>
        </w:tc>
        <w:tc>
          <w:tcPr>
            <w:tcW w:type="dxa" w:w="2600"/>
            <w:shd w:fill="F8FAFC" w:val="clear"/>
            <w:tcMar>
              <w:top w:type="dxa" w:w="80"/>
              <w:left w:type="dxa" w:w="100"/>
              <w:bottom w:type="dxa" w:w="80"/>
              <w:right w:type="dxa" w:w="100"/>
            </w:tcMar>
          </w:tcPr>
          <w:p>
            <w:r>
              <w:t xml:space="preserve">Text</w:t>
            </w:r>
          </w:p>
        </w:tc>
        <w:tc>
          <w:tcPr>
            <w:tcW w:type="dxa" w:w="3800"/>
            <w:shd w:fill="F8FAFC" w:val="clear"/>
            <w:tcMar>
              <w:top w:type="dxa" w:w="80"/>
              <w:left w:type="dxa" w:w="100"/>
              <w:bottom w:type="dxa" w:w="80"/>
              <w:right w:type="dxa" w:w="100"/>
            </w:tcMar>
          </w:tcPr>
          <w:p>
            <w:r>
              <w:t xml:space="preserve">contact.bh_quotation_id</w:t>
            </w:r>
          </w:p>
        </w:tc>
      </w:tr>
      <w:tr>
        <w:tc>
          <w:tcPr>
            <w:tcW w:type="dxa" w:w="3400"/>
            <w:shd w:fill="FFFFFF" w:val="clear"/>
            <w:tcMar>
              <w:top w:type="dxa" w:w="80"/>
              <w:left w:type="dxa" w:w="100"/>
              <w:bottom w:type="dxa" w:w="80"/>
              <w:right w:type="dxa" w:w="100"/>
            </w:tcMar>
          </w:tcPr>
          <w:p>
            <w:r>
              <w:t xml:space="preserve">Lead source</w:t>
            </w:r>
          </w:p>
        </w:tc>
        <w:tc>
          <w:tcPr>
            <w:tcW w:type="dxa" w:w="2600"/>
            <w:shd w:fill="FFFFFF" w:val="clear"/>
            <w:tcMar>
              <w:top w:type="dxa" w:w="80"/>
              <w:left w:type="dxa" w:w="100"/>
              <w:bottom w:type="dxa" w:w="80"/>
              <w:right w:type="dxa" w:w="100"/>
            </w:tcMar>
          </w:tcPr>
          <w:p>
            <w:r>
              <w:t xml:space="preserve">Single Option</w:t>
            </w:r>
          </w:p>
        </w:tc>
        <w:tc>
          <w:tcPr>
            <w:tcW w:type="dxa" w:w="3800"/>
            <w:shd w:fill="FFFFFF" w:val="clear"/>
            <w:tcMar>
              <w:top w:type="dxa" w:w="80"/>
              <w:left w:type="dxa" w:w="100"/>
              <w:bottom w:type="dxa" w:w="80"/>
              <w:right w:type="dxa" w:w="100"/>
            </w:tcMar>
          </w:tcPr>
          <w:p>
            <w:r>
              <w:t xml:space="preserve">contact.lead_source</w:t>
            </w:r>
          </w:p>
        </w:tc>
      </w:tr>
      <w:tr>
        <w:tc>
          <w:tcPr>
            <w:tcW w:type="dxa" w:w="3400"/>
            <w:shd w:fill="F8FAFC" w:val="clear"/>
            <w:tcMar>
              <w:top w:type="dxa" w:w="80"/>
              <w:left w:type="dxa" w:w="100"/>
              <w:bottom w:type="dxa" w:w="80"/>
              <w:right w:type="dxa" w:w="100"/>
            </w:tcMar>
          </w:tcPr>
          <w:p>
            <w:r>
              <w:t xml:space="preserve">Google Ads campaign</w:t>
            </w:r>
          </w:p>
        </w:tc>
        <w:tc>
          <w:tcPr>
            <w:tcW w:type="dxa" w:w="2600"/>
            <w:shd w:fill="F8FAFC" w:val="clear"/>
            <w:tcMar>
              <w:top w:type="dxa" w:w="80"/>
              <w:left w:type="dxa" w:w="100"/>
              <w:bottom w:type="dxa" w:w="80"/>
              <w:right w:type="dxa" w:w="100"/>
            </w:tcMar>
          </w:tcPr>
          <w:p>
            <w:r>
              <w:t xml:space="preserve">Text</w:t>
            </w:r>
          </w:p>
        </w:tc>
        <w:tc>
          <w:tcPr>
            <w:tcW w:type="dxa" w:w="3800"/>
            <w:shd w:fill="F8FAFC" w:val="clear"/>
            <w:tcMar>
              <w:top w:type="dxa" w:w="80"/>
              <w:left w:type="dxa" w:w="100"/>
              <w:bottom w:type="dxa" w:w="80"/>
              <w:right w:type="dxa" w:w="100"/>
            </w:tcMar>
          </w:tcPr>
          <w:p>
            <w:r>
              <w:t xml:space="preserve">contact.google_ads_campaign</w:t>
            </w:r>
          </w:p>
        </w:tc>
      </w:tr>
      <w:tr>
        <w:tc>
          <w:tcPr>
            <w:tcW w:type="dxa" w:w="3400"/>
            <w:shd w:fill="FFFFFF" w:val="clear"/>
            <w:tcMar>
              <w:top w:type="dxa" w:w="80"/>
              <w:left w:type="dxa" w:w="100"/>
              <w:bottom w:type="dxa" w:w="80"/>
              <w:right w:type="dxa" w:w="100"/>
            </w:tcMar>
          </w:tcPr>
          <w:p>
            <w:r>
              <w:t xml:space="preserve">Google Ads ad group</w:t>
            </w:r>
          </w:p>
        </w:tc>
        <w:tc>
          <w:tcPr>
            <w:tcW w:type="dxa" w:w="2600"/>
            <w:shd w:fill="FFFFFF" w:val="clear"/>
            <w:tcMar>
              <w:top w:type="dxa" w:w="80"/>
              <w:left w:type="dxa" w:w="100"/>
              <w:bottom w:type="dxa" w:w="80"/>
              <w:right w:type="dxa" w:w="100"/>
            </w:tcMar>
          </w:tcPr>
          <w:p>
            <w:r>
              <w:t xml:space="preserve">Text</w:t>
            </w:r>
          </w:p>
        </w:tc>
        <w:tc>
          <w:tcPr>
            <w:tcW w:type="dxa" w:w="3800"/>
            <w:shd w:fill="FFFFFF" w:val="clear"/>
            <w:tcMar>
              <w:top w:type="dxa" w:w="80"/>
              <w:left w:type="dxa" w:w="100"/>
              <w:bottom w:type="dxa" w:w="80"/>
              <w:right w:type="dxa" w:w="100"/>
            </w:tcMar>
          </w:tcPr>
          <w:p>
            <w:r>
              <w:t xml:space="preserve">contact.google_ads_ad_group</w:t>
            </w:r>
          </w:p>
        </w:tc>
      </w:tr>
      <w:tr>
        <w:tc>
          <w:tcPr>
            <w:tcW w:type="dxa" w:w="3400"/>
            <w:shd w:fill="F8FAFC" w:val="clear"/>
            <w:tcMar>
              <w:top w:type="dxa" w:w="80"/>
              <w:left w:type="dxa" w:w="100"/>
              <w:bottom w:type="dxa" w:w="80"/>
              <w:right w:type="dxa" w:w="100"/>
            </w:tcMar>
          </w:tcPr>
          <w:p>
            <w:r>
              <w:t xml:space="preserve">Landing page URL</w:t>
            </w:r>
          </w:p>
        </w:tc>
        <w:tc>
          <w:tcPr>
            <w:tcW w:type="dxa" w:w="2600"/>
            <w:shd w:fill="F8FAFC" w:val="clear"/>
            <w:tcMar>
              <w:top w:type="dxa" w:w="80"/>
              <w:left w:type="dxa" w:w="100"/>
              <w:bottom w:type="dxa" w:w="80"/>
              <w:right w:type="dxa" w:w="100"/>
            </w:tcMar>
          </w:tcPr>
          <w:p>
            <w:r>
              <w:t xml:space="preserve">Text</w:t>
            </w:r>
          </w:p>
        </w:tc>
        <w:tc>
          <w:tcPr>
            <w:tcW w:type="dxa" w:w="3800"/>
            <w:shd w:fill="F8FAFC" w:val="clear"/>
            <w:tcMar>
              <w:top w:type="dxa" w:w="80"/>
              <w:left w:type="dxa" w:w="100"/>
              <w:bottom w:type="dxa" w:w="80"/>
              <w:right w:type="dxa" w:w="100"/>
            </w:tcMar>
          </w:tcPr>
          <w:p>
            <w:r>
              <w:t xml:space="preserve">contact.landing_page_url</w:t>
            </w:r>
          </w:p>
        </w:tc>
      </w:tr>
      <w:tr>
        <w:tc>
          <w:tcPr>
            <w:tcW w:type="dxa" w:w="3400"/>
            <w:shd w:fill="FFFFFF" w:val="clear"/>
            <w:tcMar>
              <w:top w:type="dxa" w:w="80"/>
              <w:left w:type="dxa" w:w="100"/>
              <w:bottom w:type="dxa" w:w="80"/>
              <w:right w:type="dxa" w:w="100"/>
            </w:tcMar>
          </w:tcPr>
          <w:p>
            <w:r>
              <w:t xml:space="preserve">Quote number</w:t>
            </w:r>
          </w:p>
        </w:tc>
        <w:tc>
          <w:tcPr>
            <w:tcW w:type="dxa" w:w="2600"/>
            <w:shd w:fill="FFFFFF" w:val="clear"/>
            <w:tcMar>
              <w:top w:type="dxa" w:w="80"/>
              <w:left w:type="dxa" w:w="100"/>
              <w:bottom w:type="dxa" w:w="80"/>
              <w:right w:type="dxa" w:w="100"/>
            </w:tcMar>
          </w:tcPr>
          <w:p>
            <w:r>
              <w:t xml:space="preserve">Text</w:t>
            </w:r>
          </w:p>
        </w:tc>
        <w:tc>
          <w:tcPr>
            <w:tcW w:type="dxa" w:w="3800"/>
            <w:shd w:fill="FFFFFF" w:val="clear"/>
            <w:tcMar>
              <w:top w:type="dxa" w:w="80"/>
              <w:left w:type="dxa" w:w="100"/>
              <w:bottom w:type="dxa" w:w="80"/>
              <w:right w:type="dxa" w:w="100"/>
            </w:tcMar>
          </w:tcPr>
          <w:p>
            <w:r>
              <w:t xml:space="preserve">contact.quote_number</w:t>
            </w:r>
          </w:p>
        </w:tc>
      </w:tr>
      <w:tr>
        <w:tc>
          <w:tcPr>
            <w:tcW w:type="dxa" w:w="3400"/>
            <w:shd w:fill="F8FAFC" w:val="clear"/>
            <w:tcMar>
              <w:top w:type="dxa" w:w="80"/>
              <w:left w:type="dxa" w:w="100"/>
              <w:bottom w:type="dxa" w:w="80"/>
              <w:right w:type="dxa" w:w="100"/>
            </w:tcMar>
          </w:tcPr>
          <w:p>
            <w:r>
              <w:t xml:space="preserve">Quoted value (USD)</w:t>
            </w:r>
          </w:p>
        </w:tc>
        <w:tc>
          <w:tcPr>
            <w:tcW w:type="dxa" w:w="2600"/>
            <w:shd w:fill="F8FAFC" w:val="clear"/>
            <w:tcMar>
              <w:top w:type="dxa" w:w="80"/>
              <w:left w:type="dxa" w:w="100"/>
              <w:bottom w:type="dxa" w:w="80"/>
              <w:right w:type="dxa" w:w="100"/>
            </w:tcMar>
          </w:tcPr>
          <w:p>
            <w:r>
              <w:t xml:space="preserve">Monetary</w:t>
            </w:r>
          </w:p>
        </w:tc>
        <w:tc>
          <w:tcPr>
            <w:tcW w:type="dxa" w:w="3800"/>
            <w:shd w:fill="F8FAFC" w:val="clear"/>
            <w:tcMar>
              <w:top w:type="dxa" w:w="80"/>
              <w:left w:type="dxa" w:w="100"/>
              <w:bottom w:type="dxa" w:w="80"/>
              <w:right w:type="dxa" w:w="100"/>
            </w:tcMar>
          </w:tcPr>
          <w:p>
            <w:r>
              <w:t xml:space="preserve">contact.quoted_value_usd</w:t>
            </w:r>
          </w:p>
        </w:tc>
      </w:tr>
      <w:tr>
        <w:tc>
          <w:tcPr>
            <w:tcW w:type="dxa" w:w="3400"/>
            <w:shd w:fill="FFFFFF" w:val="clear"/>
            <w:tcMar>
              <w:top w:type="dxa" w:w="80"/>
              <w:left w:type="dxa" w:w="100"/>
              <w:bottom w:type="dxa" w:w="80"/>
              <w:right w:type="dxa" w:w="100"/>
            </w:tcMar>
          </w:tcPr>
          <w:p>
            <w:r>
              <w:t xml:space="preserve">Follow-up count</w:t>
            </w:r>
          </w:p>
        </w:tc>
        <w:tc>
          <w:tcPr>
            <w:tcW w:type="dxa" w:w="2600"/>
            <w:shd w:fill="FFFFFF" w:val="clear"/>
            <w:tcMar>
              <w:top w:type="dxa" w:w="80"/>
              <w:left w:type="dxa" w:w="100"/>
              <w:bottom w:type="dxa" w:w="80"/>
              <w:right w:type="dxa" w:w="100"/>
            </w:tcMar>
          </w:tcPr>
          <w:p>
            <w:r>
              <w:t xml:space="preserve">Numerical</w:t>
            </w:r>
          </w:p>
        </w:tc>
        <w:tc>
          <w:tcPr>
            <w:tcW w:type="dxa" w:w="3800"/>
            <w:shd w:fill="FFFFFF" w:val="clear"/>
            <w:tcMar>
              <w:top w:type="dxa" w:w="80"/>
              <w:left w:type="dxa" w:w="100"/>
              <w:bottom w:type="dxa" w:w="80"/>
              <w:right w:type="dxa" w:w="100"/>
            </w:tcMar>
          </w:tcPr>
          <w:p>
            <w:r>
              <w:t xml:space="preserve">contact.followup_count</w:t>
            </w:r>
          </w:p>
        </w:tc>
      </w:tr>
      <w:tr>
        <w:tc>
          <w:tcPr>
            <w:tcW w:type="dxa" w:w="3400"/>
            <w:shd w:fill="F8FAFC" w:val="clear"/>
            <w:tcMar>
              <w:top w:type="dxa" w:w="80"/>
              <w:left w:type="dxa" w:w="100"/>
              <w:bottom w:type="dxa" w:w="80"/>
              <w:right w:type="dxa" w:w="100"/>
            </w:tcMar>
          </w:tcPr>
          <w:p>
            <w:r>
              <w:t xml:space="preserve">Assigned sales rep</w:t>
            </w:r>
          </w:p>
        </w:tc>
        <w:tc>
          <w:tcPr>
            <w:tcW w:type="dxa" w:w="2600"/>
            <w:shd w:fill="F8FAFC" w:val="clear"/>
            <w:tcMar>
              <w:top w:type="dxa" w:w="80"/>
              <w:left w:type="dxa" w:w="100"/>
              <w:bottom w:type="dxa" w:w="80"/>
              <w:right w:type="dxa" w:w="100"/>
            </w:tcMar>
          </w:tcPr>
          <w:p>
            <w:r>
              <w:t xml:space="preserve">Single Option (“glycodepot” only for now)</w:t>
            </w:r>
          </w:p>
        </w:tc>
        <w:tc>
          <w:tcPr>
            <w:tcW w:type="dxa" w:w="3800"/>
            <w:shd w:fill="F8FAFC" w:val="clear"/>
            <w:tcMar>
              <w:top w:type="dxa" w:w="80"/>
              <w:left w:type="dxa" w:w="100"/>
              <w:bottom w:type="dxa" w:w="80"/>
              <w:right w:type="dxa" w:w="100"/>
            </w:tcMar>
          </w:tcPr>
          <w:p>
            <w:r>
              <w:t xml:space="preserve">contact.assigned_sales_rep</w:t>
            </w:r>
          </w:p>
        </w:tc>
      </w:tr>
    </w:tbl>
    <w:p>
      <w:pPr>
        <w:pStyle w:val="Heading2"/>
        <w:spacing w:after="150" w:before="300"/>
      </w:pPr>
      <w:r>
        <w:t xml:space="preserve">0.6 GHL location — where to build</w:t>
      </w:r>
    </w:p>
    <w:p>
      <w:pPr>
        <w:spacing w:after="120"/>
      </w:pPr>
      <w:r>
        <w:t xml:space="preserve">Automation → Workflows → + Create Workflow → Start from Scratch. Name each workflow exactly as given below (search will be much easier later). Set each to Draft while building, Publish only after testing per §12.</w:t>
      </w:r>
    </w:p>
    <w:p>
      <w:r>
        <w:br w:type="page"/>
      </w:r>
    </w:p>
    <w:p>
      <w:pPr>
        <w:pStyle w:val="Heading1"/>
        <w:spacing w:after="200" w:before="400"/>
      </w:pPr>
      <w:r>
        <w:t xml:space="preserve">1. Workflow 2 — Under Review. Under Review — Tag &amp; Escalation</w:t>
      </w:r>
    </w:p>
    <w:p>
      <w:pPr>
        <w:spacing w:after="120"/>
      </w:pPr>
      <w:r>
        <w:rPr>
          <w:b/>
          <w:bCs/>
        </w:rPr>
        <w:t xml:space="preserve">Purpose: </w:t>
      </w:r>
      <w:r>
        <w:t xml:space="preserve">Marks the opportunity as actively being worked, and escalates internally if the rep sits on it too long.</w:t>
      </w:r>
    </w:p>
    <w:p>
      <w:pPr>
        <w:pStyle w:val="Heading3"/>
        <w:spacing w:after="100" w:before="200"/>
      </w:pPr>
      <w:r>
        <w:t xml:space="preserve">Trigger</w:t>
      </w:r>
    </w:p>
    <w:p>
      <w:pPr>
        <w:pStyle w:val="ListParagraph"/>
        <w:numPr>
          <w:ilvl w:val="0"/>
          <w:numId w:val="2"/>
        </w:numPr>
        <w:spacing w:after="60"/>
      </w:pPr>
      <w:r>
        <w:t xml:space="preserve">Trigger type: Pipeline Stage Changed</w:t>
      </w:r>
    </w:p>
    <w:p>
      <w:pPr>
        <w:pStyle w:val="ListParagraph"/>
        <w:numPr>
          <w:ilvl w:val="0"/>
          <w:numId w:val="2"/>
        </w:numPr>
        <w:spacing w:after="60"/>
      </w:pPr>
      <w:r>
        <w:t xml:space="preserve">Pipeline: RFQ Pipeline</w:t>
      </w:r>
    </w:p>
    <w:p>
      <w:pPr>
        <w:pStyle w:val="ListParagraph"/>
        <w:numPr>
          <w:ilvl w:val="0"/>
          <w:numId w:val="2"/>
        </w:numPr>
        <w:spacing w:after="60"/>
      </w:pPr>
      <w:r>
        <w:t xml:space="preserve">Stage: Under Review (entered)</w:t>
      </w:r>
    </w:p>
    <w:p>
      <w:pPr>
        <w:pStyle w:val="Heading3"/>
        <w:spacing w:after="100" w:before="200"/>
      </w:pPr>
      <w:r>
        <w:t xml:space="preserve">Build steps</w:t>
      </w:r>
    </w:p>
    <w:p>
      <w:pPr>
        <w:spacing w:after="100"/>
      </w:pPr>
      <w:r>
        <w:rPr>
          <w:b/>
          <w:bCs/>
        </w:rPr>
        <w:t xml:space="preserve">Step 1 — </w:t>
      </w:r>
      <w:r>
        <w:rPr>
          <w:b/>
          <w:bCs/>
        </w:rPr>
        <w:t xml:space="preserve">Add Tag</w:t>
      </w:r>
      <w:r>
        <w:t xml:space="preserve">: Under-Review (add to the contact).</w:t>
      </w:r>
    </w:p>
    <w:p>
      <w:pPr>
        <w:spacing w:after="100"/>
      </w:pPr>
      <w:r>
        <w:rPr>
          <w:b/>
          <w:bCs/>
        </w:rPr>
        <w:t xml:space="preserve">Step 2 — </w:t>
      </w:r>
      <w:r>
        <w:rPr>
          <w:b/>
          <w:bCs/>
        </w:rPr>
        <w:t xml:space="preserve">Remove Tag</w:t>
      </w:r>
      <w:r>
        <w:t xml:space="preserve">: RFQ-New (remove — the lead is no longer “new”).</w:t>
      </w:r>
    </w:p>
    <w:p>
      <w:pPr>
        <w:spacing w:after="100"/>
      </w:pPr>
      <w:r>
        <w:rPr>
          <w:b/>
          <w:bCs/>
        </w:rPr>
        <w:t xml:space="preserve">Step 3 — </w:t>
      </w:r>
      <w:r>
        <w:rPr>
          <w:b/>
          <w:bCs/>
        </w:rPr>
        <w:t xml:space="preserve">Create Task</w:t>
      </w:r>
      <w:r>
        <w:t xml:space="preserve">: Title “Review RFQ — Day 1 check-in”, assigned to Assigned sales rep custom field value (or the location's default RFQ inbox user), due immediately.</w:t>
      </w:r>
    </w:p>
    <w:p>
      <w:pPr>
        <w:spacing w:after="100"/>
      </w:pPr>
      <w:r>
        <w:rPr>
          <w:b/>
          <w:bCs/>
        </w:rPr>
        <w:t xml:space="preserve">Step 4 — </w:t>
      </w:r>
      <w:r>
        <w:rPr>
          <w:b/>
          <w:bCs/>
        </w:rPr>
        <w:t xml:space="preserve">Wait</w:t>
      </w:r>
      <w:r>
        <w:t xml:space="preserve">: 1 day.</w:t>
      </w:r>
    </w:p>
    <w:p>
      <w:pPr>
        <w:spacing w:after="100"/>
      </w:pPr>
      <w:r>
        <w:rPr>
          <w:b/>
          <w:bCs/>
        </w:rPr>
        <w:t xml:space="preserve">Step 5 — </w:t>
      </w:r>
      <w:r>
        <w:rPr>
          <w:b/>
          <w:bCs/>
        </w:rPr>
        <w:t xml:space="preserve">If/Else — condition: Opportunity Stage = Under Review</w:t>
      </w:r>
      <w:r>
        <w:t xml:space="preserve">: still true → continue to Step 6 (still sitting here after a day). If the opportunity has moved to any other stage, the If/Else's “else” branch should end the workflow — use “End Workflow” action on the else branch.</w:t>
      </w:r>
    </w:p>
    <w:p>
      <w:pPr>
        <w:spacing w:after="100"/>
      </w:pPr>
      <w:r>
        <w:rPr>
          <w:b/>
          <w:bCs/>
        </w:rPr>
        <w:t xml:space="preserve">Step 6 — </w:t>
      </w:r>
      <w:r>
        <w:rPr>
          <w:b/>
          <w:bCs/>
        </w:rPr>
        <w:t xml:space="preserve">Send Internal Notification</w:t>
      </w:r>
      <w:r>
        <w:t xml:space="preserve">: Email/SMS to the assigned rep: “RFQ still in Under Review after 1 day — please action.”</w:t>
      </w:r>
    </w:p>
    <w:p>
      <w:pPr>
        <w:spacing w:after="100"/>
      </w:pPr>
      <w:r>
        <w:rPr>
          <w:b/>
          <w:bCs/>
        </w:rPr>
        <w:t xml:space="preserve">Step 7 — </w:t>
      </w:r>
      <w:r>
        <w:rPr>
          <w:b/>
          <w:bCs/>
        </w:rPr>
        <w:t xml:space="preserve">Wait</w:t>
      </w:r>
      <w:r>
        <w:t xml:space="preserve">: 1 more day (Day 2 total).</w:t>
      </w:r>
    </w:p>
    <w:p>
      <w:pPr>
        <w:spacing w:after="100"/>
      </w:pPr>
      <w:r>
        <w:rPr>
          <w:b/>
          <w:bCs/>
        </w:rPr>
        <w:t xml:space="preserve">Step 8 — </w:t>
      </w:r>
      <w:r>
        <w:rPr>
          <w:b/>
          <w:bCs/>
        </w:rPr>
        <w:t xml:space="preserve">If/Else — condition: Opportunity Stage = Under Review</w:t>
      </w:r>
      <w:r>
        <w:t xml:space="preserve">: still true → continue; else → End Workflow.</w:t>
      </w:r>
    </w:p>
    <w:p>
      <w:pPr>
        <w:spacing w:after="100"/>
      </w:pPr>
      <w:r>
        <w:rPr>
          <w:b/>
          <w:bCs/>
        </w:rPr>
        <w:t xml:space="preserve">Step 9 — </w:t>
      </w:r>
      <w:r>
        <w:rPr>
          <w:b/>
          <w:bCs/>
        </w:rPr>
        <w:t xml:space="preserve">Send Internal Notification</w:t>
      </w:r>
      <w:r>
        <w:t xml:space="preserve">: Escalate to rep AND their manager: “RFQ has been in Under Review for 2 days, needs attention.”</w:t>
      </w:r>
    </w:p>
    <w:p>
      <w:pPr>
        <w:pBdr>
          <w:left w:val="single" w:color="1D4ED8" w:sz="24" w:space="8"/>
        </w:pBdr>
        <w:spacing w:after="150" w:before="100"/>
        <w:ind w:left="200"/>
      </w:pPr>
      <w:r>
        <w:rPr>
          <w:b/>
          <w:bCs/>
          <w:color w:val="1D4ED8"/>
        </w:rPr>
        <w:t xml:space="preserve">Customer email content: </w:t>
      </w:r>
      <w:r>
        <w:t xml:space="preserve">Manually drag a test opportunity into Under Review and confirm the Day-1 task fires immediately, then temporarily shorten the Wait steps to 1 minute each to confirm the escalation branch works before restoring 1-day waits.</w:t>
      </w:r>
    </w:p>
    <w:p>
      <w:pPr>
        <w:pBdr>
          <w:bottom w:val="single" w:color="CBD5E1" w:sz="6" w:space="4"/>
        </w:pBdr>
        <w:spacing w:after="200" w:before="200"/>
      </w:pPr>
      <w:r>
        <w:t xml:space="preserve"/>
      </w:r>
    </w:p>
    <w:p>
      <w:pPr>
        <w:pStyle w:val="Heading1"/>
        <w:spacing w:after="200" w:before="400"/>
      </w:pPr>
      <w:r>
        <w:t xml:space="preserve">2. Workflow 3 — Quote Sent (Setup). Quote Sent — Setup &amp; Field Sync</w:t>
      </w:r>
    </w:p>
    <w:p>
      <w:pPr>
        <w:spacing w:after="120"/>
      </w:pPr>
      <w:r>
        <w:rPr>
          <w:b/>
          <w:bCs/>
        </w:rPr>
        <w:t xml:space="preserve">Purpose: </w:t>
      </w:r>
      <w:r>
        <w:t xml:space="preserve">Fires the moment BysonHub's quote-sent status lands and the opportunity moves to Quote Sent. Sets the fields the Day-2/Day-3 nudge workflows depend on.</w:t>
      </w:r>
    </w:p>
    <w:p>
      <w:pPr>
        <w:pStyle w:val="Heading3"/>
        <w:spacing w:after="100" w:before="200"/>
      </w:pPr>
      <w:r>
        <w:t xml:space="preserve">Trigger</w:t>
      </w:r>
    </w:p>
    <w:p>
      <w:pPr>
        <w:pStyle w:val="ListParagraph"/>
        <w:numPr>
          <w:ilvl w:val="0"/>
          <w:numId w:val="2"/>
        </w:numPr>
        <w:spacing w:after="60"/>
      </w:pPr>
      <w:r>
        <w:t xml:space="preserve">Trigger type: Pipeline Stage Changed</w:t>
      </w:r>
    </w:p>
    <w:p>
      <w:pPr>
        <w:pStyle w:val="ListParagraph"/>
        <w:numPr>
          <w:ilvl w:val="0"/>
          <w:numId w:val="2"/>
        </w:numPr>
        <w:spacing w:after="60"/>
      </w:pPr>
      <w:r>
        <w:t xml:space="preserve">Pipeline: RFQ Pipeline</w:t>
      </w:r>
    </w:p>
    <w:p>
      <w:pPr>
        <w:pStyle w:val="ListParagraph"/>
        <w:numPr>
          <w:ilvl w:val="0"/>
          <w:numId w:val="2"/>
        </w:numPr>
        <w:spacing w:after="60"/>
      </w:pPr>
      <w:r>
        <w:t xml:space="preserve">Stage: Quote Sent (entered)</w:t>
      </w:r>
    </w:p>
    <w:p>
      <w:pPr>
        <w:pStyle w:val="Heading3"/>
        <w:spacing w:after="100" w:before="200"/>
      </w:pPr>
      <w:r>
        <w:t xml:space="preserve">Build steps</w:t>
      </w:r>
    </w:p>
    <w:p>
      <w:pPr>
        <w:spacing w:after="100"/>
      </w:pPr>
      <w:r>
        <w:rPr>
          <w:b/>
          <w:bCs/>
        </w:rPr>
        <w:t xml:space="preserve">Step 1 — </w:t>
      </w:r>
      <w:r>
        <w:rPr>
          <w:b/>
          <w:bCs/>
        </w:rPr>
        <w:t xml:space="preserve">Add Tag</w:t>
      </w:r>
      <w:r>
        <w:t xml:space="preserve">: Quote-Sent.</w:t>
      </w:r>
    </w:p>
    <w:p>
      <w:pPr>
        <w:spacing w:after="100"/>
      </w:pPr>
      <w:r>
        <w:rPr>
          <w:b/>
          <w:bCs/>
        </w:rPr>
        <w:t xml:space="preserve">Step 2 — </w:t>
      </w:r>
      <w:r>
        <w:rPr>
          <w:b/>
          <w:bCs/>
        </w:rPr>
        <w:t xml:space="preserve">Remove Tag</w:t>
      </w:r>
      <w:r>
        <w:t xml:space="preserve">: Under-Review.</w:t>
      </w:r>
    </w:p>
    <w:p>
      <w:pPr>
        <w:spacing w:after="100"/>
      </w:pPr>
      <w:r>
        <w:rPr>
          <w:b/>
          <w:bCs/>
        </w:rPr>
        <w:t xml:space="preserve">Step 3 — </w:t>
      </w:r>
      <w:r>
        <w:rPr>
          <w:b/>
          <w:bCs/>
        </w:rPr>
        <w:t xml:space="preserve">Update Contact Field</w:t>
      </w:r>
      <w:r>
        <w:t xml:space="preserve">: Quote number ← value from the incoming status webhook payload (map the merge field BysonHub sends — see the SOP §2 webhook contract).</w:t>
      </w:r>
    </w:p>
    <w:p>
      <w:pPr>
        <w:spacing w:after="100"/>
      </w:pPr>
      <w:r>
        <w:rPr>
          <w:b/>
          <w:bCs/>
        </w:rPr>
        <w:t xml:space="preserve">Step 4 — </w:t>
      </w:r>
      <w:r>
        <w:rPr>
          <w:b/>
          <w:bCs/>
        </w:rPr>
        <w:t xml:space="preserve">Update Contact Field</w:t>
      </w:r>
      <w:r>
        <w:t xml:space="preserve">: Quoted value (USD) ← same payload.</w:t>
      </w:r>
    </w:p>
    <w:p>
      <w:pPr>
        <w:spacing w:after="100"/>
      </w:pPr>
      <w:r>
        <w:rPr>
          <w:b/>
          <w:bCs/>
        </w:rPr>
        <w:t xml:space="preserve">Step 5 — </w:t>
      </w:r>
      <w:r>
        <w:rPr>
          <w:b/>
          <w:bCs/>
        </w:rPr>
        <w:t xml:space="preserve">Update Contact Field</w:t>
      </w:r>
      <w:r>
        <w:t xml:space="preserve">: Follow-up count ← set to 0 (reset the counter for this quote cycle).</w:t>
      </w:r>
    </w:p>
    <w:p>
      <w:pPr>
        <w:pBdr>
          <w:left w:val="single" w:color="1D4ED8" w:sz="24" w:space="8"/>
        </w:pBdr>
        <w:spacing w:after="150" w:before="100"/>
        <w:ind w:left="200"/>
      </w:pPr>
      <w:r>
        <w:rPr>
          <w:b/>
          <w:bCs/>
          <w:color w:val="1D4ED8"/>
        </w:rPr>
        <w:t xml:space="preserve">Customer email content: </w:t>
      </w:r>
      <w:r>
        <w:t xml:space="preserve">This workflow only sets state — it sends no customer email. Confirm the two nudge workflows (3 and 4 below) are what actually message the customer.</w:t>
      </w:r>
    </w:p>
    <w:p>
      <w:pPr>
        <w:pBdr>
          <w:bottom w:val="single" w:color="CBD5E1" w:sz="6" w:space="4"/>
        </w:pBdr>
        <w:spacing w:after="200" w:before="200"/>
      </w:pPr>
      <w:r>
        <w:t xml:space="preserve"/>
      </w:r>
    </w:p>
    <w:p>
      <w:pPr>
        <w:pStyle w:val="Heading1"/>
        <w:spacing w:after="200" w:before="400"/>
      </w:pPr>
      <w:r>
        <w:t xml:space="preserve">3. Workflow 4 — Quote Sent Day 2 Nudge. Quote Sent — Day 2 Customer Nudge</w:t>
      </w:r>
    </w:p>
    <w:p>
      <w:pPr>
        <w:spacing w:after="120"/>
      </w:pPr>
      <w:r>
        <w:rPr>
          <w:b/>
          <w:bCs/>
        </w:rPr>
        <w:t xml:space="preserve">Purpose: </w:t>
      </w:r>
      <w:r>
        <w:t xml:space="preserve">First customer-facing nudge, checking in without re-sending the quote.</w:t>
      </w:r>
    </w:p>
    <w:p>
      <w:pPr>
        <w:pStyle w:val="Heading3"/>
        <w:spacing w:after="100" w:before="200"/>
      </w:pPr>
      <w:r>
        <w:t xml:space="preserve">Trigger</w:t>
      </w:r>
    </w:p>
    <w:p>
      <w:pPr>
        <w:pStyle w:val="ListParagraph"/>
        <w:numPr>
          <w:ilvl w:val="0"/>
          <w:numId w:val="2"/>
        </w:numPr>
        <w:spacing w:after="60"/>
      </w:pPr>
      <w:r>
        <w:t xml:space="preserve">Trigger type: Tag Added</w:t>
      </w:r>
    </w:p>
    <w:p>
      <w:pPr>
        <w:pStyle w:val="ListParagraph"/>
        <w:numPr>
          <w:ilvl w:val="0"/>
          <w:numId w:val="2"/>
        </w:numPr>
        <w:spacing w:after="60"/>
      </w:pPr>
      <w:r>
        <w:t xml:space="preserve">Tag: Quote-Sent</w:t>
      </w:r>
    </w:p>
    <w:p>
      <w:pPr>
        <w:pStyle w:val="Heading3"/>
        <w:spacing w:after="100" w:before="200"/>
      </w:pPr>
      <w:r>
        <w:t xml:space="preserve">Build steps</w:t>
      </w:r>
    </w:p>
    <w:p>
      <w:pPr>
        <w:spacing w:after="100"/>
      </w:pPr>
      <w:r>
        <w:rPr>
          <w:b/>
          <w:bCs/>
        </w:rPr>
        <w:t xml:space="preserve">Step 1 — </w:t>
      </w:r>
      <w:r>
        <w:rPr>
          <w:b/>
          <w:bCs/>
        </w:rPr>
        <w:t xml:space="preserve">Wait</w:t>
      </w:r>
      <w:r>
        <w:t xml:space="preserve">: 2 days.</w:t>
      </w:r>
    </w:p>
    <w:p>
      <w:pPr>
        <w:spacing w:after="100"/>
      </w:pPr>
      <w:r>
        <w:rPr>
          <w:b/>
          <w:bCs/>
        </w:rPr>
        <w:t xml:space="preserve">Step 2 — </w:t>
      </w:r>
      <w:r>
        <w:rPr>
          <w:b/>
          <w:bCs/>
        </w:rPr>
        <w:t xml:space="preserve">If/Else — condition: Contact has tag Quote-Sent</w:t>
      </w:r>
      <w:r>
        <w:t xml:space="preserve">: true → continue (still in Quote Sent, hasn't moved to Negotiation/Accepted/Abandoned). False → End Workflow.</w:t>
      </w:r>
    </w:p>
    <w:p>
      <w:pPr>
        <w:spacing w:after="100"/>
      </w:pPr>
      <w:r>
        <w:rPr>
          <w:b/>
          <w:bCs/>
        </w:rPr>
        <w:t xml:space="preserve">Step 3 — </w:t>
      </w:r>
      <w:r>
        <w:rPr>
          <w:b/>
          <w:bCs/>
        </w:rPr>
        <w:t xml:space="preserve">Send Email</w:t>
      </w:r>
      <w:r>
        <w:t xml:space="preserve">: to contact — nudge only, see content note below.</w:t>
      </w:r>
    </w:p>
    <w:p>
      <w:pPr>
        <w:spacing w:after="100"/>
      </w:pPr>
      <w:r>
        <w:rPr>
          <w:b/>
          <w:bCs/>
        </w:rPr>
        <w:t xml:space="preserve">Step 4 — </w:t>
      </w:r>
      <w:r>
        <w:rPr>
          <w:b/>
          <w:bCs/>
        </w:rPr>
        <w:t xml:space="preserve">Update Contact Field</w:t>
      </w:r>
      <w:r>
        <w:t xml:space="preserve">: Follow-up count ← increment by 1 (use the field's existing value + 1 via a Math/Update Field action, or a Workflow “custom value” expression if your GHL plan supports it; otherwise set manually to 1).</w:t>
      </w:r>
    </w:p>
    <w:p>
      <w:pPr>
        <w:pBdr>
          <w:left w:val="single" w:color="1D4ED8" w:sz="24" w:space="8"/>
        </w:pBdr>
        <w:spacing w:after="150" w:before="100"/>
        <w:ind w:left="200"/>
      </w:pPr>
      <w:r>
        <w:rPr>
          <w:b/>
          <w:bCs/>
          <w:color w:val="1D4ED8"/>
        </w:rPr>
        <w:t xml:space="preserve">Customer email content: </w:t>
      </w:r>
      <w:r>
        <w:t xml:space="preserve">Set Wait to 2 minutes temporarily, confirm the email fires and the field increments, then restore 2 days.</w:t>
      </w:r>
    </w:p>
    <w:p>
      <w:pPr>
        <w:pBdr>
          <w:left w:val="single" w:color="15803D" w:sz="24" w:space="8"/>
        </w:pBdr>
        <w:spacing w:after="150" w:before="100"/>
        <w:ind w:left="200"/>
      </w:pPr>
      <w:r>
        <w:rPr>
          <w:b/>
          <w:bCs/>
          <w:color w:val="15803D"/>
        </w:rPr>
        <w:t xml:space="preserve">Test before publishing: </w:t>
      </w:r>
      <w:r>
        <w:t xml:space="preserve">Did our quote cover everything you need? Reply here or let us know if you have questions — happy to help. (Do NOT attach or restate pricing/quote details — BysonHub already sent that.)</w:t>
      </w:r>
    </w:p>
    <w:p>
      <w:pPr>
        <w:pBdr>
          <w:bottom w:val="single" w:color="CBD5E1" w:sz="6" w:space="4"/>
        </w:pBdr>
        <w:spacing w:after="200" w:before="200"/>
      </w:pPr>
      <w:r>
        <w:t xml:space="preserve"/>
      </w:r>
    </w:p>
    <w:p>
      <w:pPr>
        <w:pStyle w:val="Heading1"/>
        <w:spacing w:after="200" w:before="400"/>
      </w:pPr>
      <w:r>
        <w:t xml:space="preserve">4. Workflow 5 — Quote Sent Day 3 Second Nudge. Quote Sent — Day 3 Second Nudge + Rep Escalation</w:t>
      </w:r>
    </w:p>
    <w:p>
      <w:pPr>
        <w:spacing w:after="120"/>
      </w:pPr>
      <w:r>
        <w:rPr>
          <w:b/>
          <w:bCs/>
        </w:rPr>
        <w:t xml:space="preserve">Purpose: </w:t>
      </w:r>
      <w:r>
        <w:t xml:space="preserve">Second and final automated nudge before the lead is left to go Abandoned on inactivity (Workflow 8 handles that separately).</w:t>
      </w:r>
    </w:p>
    <w:p>
      <w:pPr>
        <w:pStyle w:val="Heading3"/>
        <w:spacing w:after="100" w:before="200"/>
      </w:pPr>
      <w:r>
        <w:t xml:space="preserve">Trigger</w:t>
      </w:r>
    </w:p>
    <w:p>
      <w:pPr>
        <w:pStyle w:val="ListParagraph"/>
        <w:numPr>
          <w:ilvl w:val="0"/>
          <w:numId w:val="2"/>
        </w:numPr>
        <w:spacing w:after="60"/>
      </w:pPr>
      <w:r>
        <w:t xml:space="preserve">Trigger type: Tag Added</w:t>
      </w:r>
    </w:p>
    <w:p>
      <w:pPr>
        <w:pStyle w:val="ListParagraph"/>
        <w:numPr>
          <w:ilvl w:val="0"/>
          <w:numId w:val="2"/>
        </w:numPr>
        <w:spacing w:after="60"/>
      </w:pPr>
      <w:r>
        <w:t xml:space="preserve">Tag: Quote-Sent</w:t>
      </w:r>
    </w:p>
    <w:p>
      <w:pPr>
        <w:pStyle w:val="Heading3"/>
        <w:spacing w:after="100" w:before="200"/>
      </w:pPr>
      <w:r>
        <w:t xml:space="preserve">Build steps</w:t>
      </w:r>
    </w:p>
    <w:p>
      <w:pPr>
        <w:spacing w:after="100"/>
      </w:pPr>
      <w:r>
        <w:rPr>
          <w:b/>
          <w:bCs/>
        </w:rPr>
        <w:t xml:space="preserve">Step 1 — </w:t>
      </w:r>
      <w:r>
        <w:rPr>
          <w:b/>
          <w:bCs/>
        </w:rPr>
        <w:t xml:space="preserve">Wait</w:t>
      </w:r>
      <w:r>
        <w:t xml:space="preserve">: 3 days.</w:t>
      </w:r>
    </w:p>
    <w:p>
      <w:pPr>
        <w:spacing w:after="100"/>
      </w:pPr>
      <w:r>
        <w:rPr>
          <w:b/>
          <w:bCs/>
        </w:rPr>
        <w:t xml:space="preserve">Step 2 — </w:t>
      </w:r>
      <w:r>
        <w:rPr>
          <w:b/>
          <w:bCs/>
        </w:rPr>
        <w:t xml:space="preserve">If/Else — condition: Contact has tag Quote-Sent</w:t>
      </w:r>
      <w:r>
        <w:t xml:space="preserve">: true → continue. False → End Workflow.</w:t>
      </w:r>
    </w:p>
    <w:p>
      <w:pPr>
        <w:spacing w:after="100"/>
      </w:pPr>
      <w:r>
        <w:rPr>
          <w:b/>
          <w:bCs/>
        </w:rPr>
        <w:t xml:space="preserve">Step 3 — </w:t>
      </w:r>
      <w:r>
        <w:rPr>
          <w:b/>
          <w:bCs/>
        </w:rPr>
        <w:t xml:space="preserve">Send Email</w:t>
      </w:r>
      <w:r>
        <w:t xml:space="preserve">: to contact — second nudge + datasheet link, see content note.</w:t>
      </w:r>
    </w:p>
    <w:p>
      <w:pPr>
        <w:spacing w:after="100"/>
      </w:pPr>
      <w:r>
        <w:rPr>
          <w:b/>
          <w:bCs/>
        </w:rPr>
        <w:t xml:space="preserve">Step 4 — </w:t>
      </w:r>
      <w:r>
        <w:rPr>
          <w:b/>
          <w:bCs/>
        </w:rPr>
        <w:t xml:space="preserve">Update Contact Field</w:t>
      </w:r>
      <w:r>
        <w:t xml:space="preserve">: Follow-up count ← increment by 1.</w:t>
      </w:r>
    </w:p>
    <w:p>
      <w:pPr>
        <w:spacing w:after="100"/>
      </w:pPr>
      <w:r>
        <w:rPr>
          <w:b/>
          <w:bCs/>
        </w:rPr>
        <w:t xml:space="preserve">Step 5 — </w:t>
      </w:r>
      <w:r>
        <w:rPr>
          <w:b/>
          <w:bCs/>
        </w:rPr>
        <w:t xml:space="preserve">Create Task</w:t>
      </w:r>
      <w:r>
        <w:t xml:space="preserve">: Title “Quote stalled 3 days — personal follow-up needed”, assigned to the rep, due immediately.</w:t>
      </w:r>
    </w:p>
    <w:p>
      <w:pPr>
        <w:pBdr>
          <w:left w:val="single" w:color="1D4ED8" w:sz="24" w:space="8"/>
        </w:pBdr>
        <w:spacing w:after="150" w:before="100"/>
        <w:ind w:left="200"/>
      </w:pPr>
      <w:r>
        <w:rPr>
          <w:b/>
          <w:bCs/>
          <w:color w:val="1D4ED8"/>
        </w:rPr>
        <w:t xml:space="preserve">Customer email content: </w:t>
      </w:r>
      <w:r>
        <w:t xml:space="preserve">Confirm this fires independently of Workflow 4 (both trigger off the same tag add, at different Wait durations) — test both together with shortened waits to make sure they don't collide or duplicate.</w:t>
      </w:r>
    </w:p>
    <w:p>
      <w:pPr>
        <w:pBdr>
          <w:left w:val="single" w:color="15803D" w:sz="24" w:space="8"/>
        </w:pBdr>
        <w:spacing w:after="150" w:before="100"/>
        <w:ind w:left="200"/>
      </w:pPr>
      <w:r>
        <w:rPr>
          <w:b/>
          <w:bCs/>
          <w:color w:val="15803D"/>
        </w:rPr>
        <w:t xml:space="preserve">Test before publishing: </w:t>
      </w:r>
      <w:r>
        <w:t xml:space="preserve">Following up on the quote we sent — in the meantime, here's a relevant product datasheet you might find useful: [link]. Let us know if you'd like to discuss further.</w:t>
      </w:r>
    </w:p>
    <w:p>
      <w:pPr>
        <w:pBdr>
          <w:bottom w:val="single" w:color="CBD5E1" w:sz="6" w:space="4"/>
        </w:pBdr>
        <w:spacing w:after="200" w:before="200"/>
      </w:pPr>
      <w:r>
        <w:t xml:space="preserve"/>
      </w:r>
    </w:p>
    <w:p>
      <w:pPr>
        <w:pStyle w:val="Heading1"/>
        <w:spacing w:after="200" w:before="400"/>
      </w:pPr>
      <w:r>
        <w:t xml:space="preserve">5. Workflow 6 — Negotiation. Negotiation / PO — Pause Nudges &amp; Rep Reminder</w:t>
      </w:r>
    </w:p>
    <w:p>
      <w:pPr>
        <w:spacing w:after="120"/>
      </w:pPr>
      <w:r>
        <w:rPr>
          <w:b/>
          <w:bCs/>
        </w:rPr>
        <w:t xml:space="preserve">Purpose: </w:t>
      </w:r>
      <w:r>
        <w:t xml:space="preserve">Stops the automated nudges the moment a human conversation starts, and reminds the rep if talks stall.</w:t>
      </w:r>
    </w:p>
    <w:p>
      <w:pPr>
        <w:pStyle w:val="Heading3"/>
        <w:spacing w:after="100" w:before="200"/>
      </w:pPr>
      <w:r>
        <w:t xml:space="preserve">Trigger</w:t>
      </w:r>
    </w:p>
    <w:p>
      <w:pPr>
        <w:pStyle w:val="ListParagraph"/>
        <w:numPr>
          <w:ilvl w:val="0"/>
          <w:numId w:val="2"/>
        </w:numPr>
        <w:spacing w:after="60"/>
      </w:pPr>
      <w:r>
        <w:t xml:space="preserve">Trigger type: Pipeline Stage Changed</w:t>
      </w:r>
    </w:p>
    <w:p>
      <w:pPr>
        <w:pStyle w:val="ListParagraph"/>
        <w:numPr>
          <w:ilvl w:val="0"/>
          <w:numId w:val="2"/>
        </w:numPr>
        <w:spacing w:after="60"/>
      </w:pPr>
      <w:r>
        <w:t xml:space="preserve">Pipeline: RFQ Pipeline</w:t>
      </w:r>
    </w:p>
    <w:p>
      <w:pPr>
        <w:pStyle w:val="ListParagraph"/>
        <w:numPr>
          <w:ilvl w:val="0"/>
          <w:numId w:val="2"/>
        </w:numPr>
        <w:spacing w:after="60"/>
      </w:pPr>
      <w:r>
        <w:t xml:space="preserve">Stage: Negotiation / PO (entered)</w:t>
      </w:r>
    </w:p>
    <w:p>
      <w:pPr>
        <w:pStyle w:val="Heading3"/>
        <w:spacing w:after="100" w:before="200"/>
      </w:pPr>
      <w:r>
        <w:t xml:space="preserve">Build steps</w:t>
      </w:r>
    </w:p>
    <w:p>
      <w:pPr>
        <w:spacing w:after="100"/>
      </w:pPr>
      <w:r>
        <w:rPr>
          <w:b/>
          <w:bCs/>
        </w:rPr>
        <w:t xml:space="preserve">Step 1 — </w:t>
      </w:r>
      <w:r>
        <w:rPr>
          <w:b/>
          <w:bCs/>
        </w:rPr>
        <w:t xml:space="preserve">Add Tag</w:t>
      </w:r>
      <w:r>
        <w:t xml:space="preserve">: Negotiation.</w:t>
      </w:r>
    </w:p>
    <w:p>
      <w:pPr>
        <w:spacing w:after="100"/>
      </w:pPr>
      <w:r>
        <w:rPr>
          <w:b/>
          <w:bCs/>
        </w:rPr>
        <w:t xml:space="preserve">Step 2 — </w:t>
      </w:r>
      <w:r>
        <w:rPr>
          <w:b/>
          <w:bCs/>
        </w:rPr>
        <w:t xml:space="preserve">Remove Tag</w:t>
      </w:r>
      <w:r>
        <w:t xml:space="preserve">: Quote-Sent (this is what makes Workflows 4/5's If/Else branches exit — removing the tag pauses those nudge chains automatically).</w:t>
      </w:r>
    </w:p>
    <w:p>
      <w:pPr>
        <w:spacing w:after="100"/>
      </w:pPr>
      <w:r>
        <w:rPr>
          <w:b/>
          <w:bCs/>
        </w:rPr>
        <w:t xml:space="preserve">Step 3 — </w:t>
      </w:r>
      <w:r>
        <w:rPr>
          <w:b/>
          <w:bCs/>
        </w:rPr>
        <w:t xml:space="preserve">Create Task</w:t>
      </w:r>
      <w:r>
        <w:t xml:space="preserve">: Title “In negotiation — monitor”, assigned to rep.</w:t>
      </w:r>
    </w:p>
    <w:p>
      <w:pPr>
        <w:spacing w:after="100"/>
      </w:pPr>
      <w:r>
        <w:rPr>
          <w:b/>
          <w:bCs/>
        </w:rPr>
        <w:t xml:space="preserve">Step 4 — </w:t>
      </w:r>
      <w:r>
        <w:rPr>
          <w:b/>
          <w:bCs/>
        </w:rPr>
        <w:t xml:space="preserve">Wait</w:t>
      </w:r>
      <w:r>
        <w:t xml:space="preserve">: 5 business days (use GHL's “Wait — business days” option, not calendar days).</w:t>
      </w:r>
    </w:p>
    <w:p>
      <w:pPr>
        <w:spacing w:after="100"/>
      </w:pPr>
      <w:r>
        <w:rPr>
          <w:b/>
          <w:bCs/>
        </w:rPr>
        <w:t xml:space="preserve">Step 5 — </w:t>
      </w:r>
      <w:r>
        <w:rPr>
          <w:b/>
          <w:bCs/>
        </w:rPr>
        <w:t xml:space="preserve">If/Else — condition: Opportunity Stage = Negotiation / PO</w:t>
      </w:r>
      <w:r>
        <w:t xml:space="preserve">: true → Send Internal Notification to rep: “Negotiation stalled 5 business days, please check in.” False → End Workflow.</w:t>
      </w:r>
    </w:p>
    <w:p>
      <w:pPr>
        <w:pBdr>
          <w:left w:val="single" w:color="1D4ED8" w:sz="24" w:space="8"/>
        </w:pBdr>
        <w:spacing w:after="150" w:before="100"/>
        <w:ind w:left="200"/>
      </w:pPr>
      <w:r>
        <w:rPr>
          <w:b/>
          <w:bCs/>
          <w:color w:val="1D4ED8"/>
        </w:rPr>
        <w:t xml:space="preserve">Customer email content: </w:t>
      </w:r>
      <w:r>
        <w:t xml:space="preserve">Confirm removing the Quote-Sent tag here actually halts an in-flight Workflow 4/5 wait for a test contact — this is the most important cross-workflow dependency in the whole build.</w:t>
      </w:r>
    </w:p>
    <w:p>
      <w:pPr>
        <w:pBdr>
          <w:bottom w:val="single" w:color="CBD5E1" w:sz="6" w:space="4"/>
        </w:pBdr>
        <w:spacing w:after="200" w:before="200"/>
      </w:pPr>
      <w:r>
        <w:t xml:space="preserve"/>
      </w:r>
    </w:p>
    <w:p>
      <w:pPr>
        <w:pStyle w:val="Heading1"/>
        <w:spacing w:after="200" w:before="400"/>
      </w:pPr>
      <w:r>
        <w:t xml:space="preserve">6. Workflow 7 — Quotation Accepted. Quotation Accepted — Stop Nudges &amp; Payment Monitor</w:t>
      </w:r>
    </w:p>
    <w:p>
      <w:pPr>
        <w:spacing w:after="120"/>
      </w:pPr>
      <w:r>
        <w:rPr>
          <w:b/>
          <w:bCs/>
        </w:rPr>
        <w:t xml:space="preserve">Purpose: </w:t>
      </w:r>
      <w:r>
        <w:t xml:space="preserve">Customer has accepted; stop all further nudges and just wait for BysonHub to confirm payment.</w:t>
      </w:r>
    </w:p>
    <w:p>
      <w:pPr>
        <w:pStyle w:val="Heading3"/>
        <w:spacing w:after="100" w:before="200"/>
      </w:pPr>
      <w:r>
        <w:t xml:space="preserve">Trigger</w:t>
      </w:r>
    </w:p>
    <w:p>
      <w:pPr>
        <w:pStyle w:val="ListParagraph"/>
        <w:numPr>
          <w:ilvl w:val="0"/>
          <w:numId w:val="2"/>
        </w:numPr>
        <w:spacing w:after="60"/>
      </w:pPr>
      <w:r>
        <w:t xml:space="preserve">Trigger type: Pipeline Stage Changed</w:t>
      </w:r>
    </w:p>
    <w:p>
      <w:pPr>
        <w:pStyle w:val="ListParagraph"/>
        <w:numPr>
          <w:ilvl w:val="0"/>
          <w:numId w:val="2"/>
        </w:numPr>
        <w:spacing w:after="60"/>
      </w:pPr>
      <w:r>
        <w:t xml:space="preserve">Pipeline: RFQ Pipeline</w:t>
      </w:r>
    </w:p>
    <w:p>
      <w:pPr>
        <w:pStyle w:val="ListParagraph"/>
        <w:numPr>
          <w:ilvl w:val="0"/>
          <w:numId w:val="2"/>
        </w:numPr>
        <w:spacing w:after="60"/>
      </w:pPr>
      <w:r>
        <w:t xml:space="preserve">Stage: Quotation Accepted (entered)</w:t>
      </w:r>
    </w:p>
    <w:p>
      <w:pPr>
        <w:pStyle w:val="Heading3"/>
        <w:spacing w:after="100" w:before="200"/>
      </w:pPr>
      <w:r>
        <w:t xml:space="preserve">Build steps</w:t>
      </w:r>
    </w:p>
    <w:p>
      <w:pPr>
        <w:spacing w:after="100"/>
      </w:pPr>
      <w:r>
        <w:rPr>
          <w:b/>
          <w:bCs/>
        </w:rPr>
        <w:t xml:space="preserve">Step 1 — </w:t>
      </w:r>
      <w:r>
        <w:rPr>
          <w:b/>
          <w:bCs/>
        </w:rPr>
        <w:t xml:space="preserve">Add Tag</w:t>
      </w:r>
      <w:r>
        <w:t xml:space="preserve">: Quotation-Accepted.</w:t>
      </w:r>
    </w:p>
    <w:p>
      <w:pPr>
        <w:spacing w:after="100"/>
      </w:pPr>
      <w:r>
        <w:rPr>
          <w:b/>
          <w:bCs/>
        </w:rPr>
        <w:t xml:space="preserve">Step 2 — </w:t>
      </w:r>
      <w:r>
        <w:rPr>
          <w:b/>
          <w:bCs/>
        </w:rPr>
        <w:t xml:space="preserve">Remove Tag</w:t>
      </w:r>
      <w:r>
        <w:t xml:space="preserve">: Quote-Sent, Negotiation (remove both — belt-and-suspenders in case this stage was entered directly from Quote Sent, skipping Negotiation).</w:t>
      </w:r>
    </w:p>
    <w:p>
      <w:pPr>
        <w:spacing w:after="100"/>
      </w:pPr>
      <w:r>
        <w:rPr>
          <w:b/>
          <w:bCs/>
        </w:rPr>
        <w:t xml:space="preserve">Step 3 — </w:t>
      </w:r>
      <w:r>
        <w:rPr>
          <w:b/>
          <w:bCs/>
        </w:rPr>
        <w:t xml:space="preserve">Create Task</w:t>
      </w:r>
      <w:r>
        <w:t xml:space="preserve">: Title “Awaiting payment — monitor for BysonHub Paid status”, assigned to rep.</w:t>
      </w:r>
    </w:p>
    <w:p>
      <w:pPr>
        <w:pBdr>
          <w:left w:val="single" w:color="1D4ED8" w:sz="24" w:space="8"/>
        </w:pBdr>
        <w:spacing w:after="150" w:before="100"/>
        <w:ind w:left="200"/>
      </w:pPr>
      <w:r>
        <w:rPr>
          <w:b/>
          <w:bCs/>
          <w:color w:val="1D4ED8"/>
        </w:rPr>
        <w:t xml:space="preserve">Customer email content: </w:t>
      </w:r>
      <w:r>
        <w:t xml:space="preserve">No customer email in this workflow — BysonHub sends the payment link, per the ownership boundary in §0.2.</w:t>
      </w:r>
    </w:p>
    <w:p>
      <w:pPr>
        <w:pBdr>
          <w:bottom w:val="single" w:color="CBD5E1" w:sz="6" w:space="4"/>
        </w:pBdr>
        <w:spacing w:after="200" w:before="200"/>
      </w:pPr>
      <w:r>
        <w:t xml:space="preserve"/>
      </w:r>
    </w:p>
    <w:p>
      <w:pPr>
        <w:pStyle w:val="Heading1"/>
        <w:spacing w:after="200" w:before="400"/>
      </w:pPr>
      <w:r>
        <w:t xml:space="preserve">7. Workflow 8 — Abandoned (Inactivity). Abandoned — Auto-Detect, Move Stage &amp; Enter Nurture</w:t>
      </w:r>
    </w:p>
    <w:p>
      <w:pPr>
        <w:spacing w:after="120"/>
      </w:pPr>
      <w:r>
        <w:rPr>
          <w:b/>
          <w:bCs/>
        </w:rPr>
        <w:t xml:space="preserve">Purpose: </w:t>
      </w:r>
      <w:r>
        <w:t xml:space="preserve">The only fully automatic stage transition in this pipeline — no human moves the opportunity here, GHL does it after 3 days of silence following Quote Sent.</w:t>
      </w:r>
    </w:p>
    <w:p>
      <w:pPr>
        <w:pStyle w:val="Heading3"/>
        <w:spacing w:after="100" w:before="200"/>
      </w:pPr>
      <w:r>
        <w:t xml:space="preserve">Trigger</w:t>
      </w:r>
    </w:p>
    <w:p>
      <w:pPr>
        <w:pStyle w:val="ListParagraph"/>
        <w:numPr>
          <w:ilvl w:val="0"/>
          <w:numId w:val="2"/>
        </w:numPr>
        <w:spacing w:after="60"/>
      </w:pPr>
      <w:r>
        <w:t xml:space="preserve">Trigger type: Tag Added</w:t>
      </w:r>
    </w:p>
    <w:p>
      <w:pPr>
        <w:pStyle w:val="ListParagraph"/>
        <w:numPr>
          <w:ilvl w:val="0"/>
          <w:numId w:val="2"/>
        </w:numPr>
        <w:spacing w:after="60"/>
      </w:pPr>
      <w:r>
        <w:t xml:space="preserve">Tag: Quote-Sent</w:t>
      </w:r>
    </w:p>
    <w:p>
      <w:pPr>
        <w:pStyle w:val="ListParagraph"/>
        <w:numPr>
          <w:ilvl w:val="0"/>
          <w:numId w:val="2"/>
        </w:numPr>
        <w:spacing w:after="60"/>
      </w:pPr>
      <w:r>
        <w:t xml:space="preserve">(This runs in parallel with Workflows 4 and 5, off the same tag — that's expected.)</w:t>
      </w:r>
    </w:p>
    <w:p>
      <w:pPr>
        <w:pStyle w:val="Heading3"/>
        <w:spacing w:after="100" w:before="200"/>
      </w:pPr>
      <w:r>
        <w:t xml:space="preserve">Build steps</w:t>
      </w:r>
    </w:p>
    <w:p>
      <w:pPr>
        <w:spacing w:after="100"/>
      </w:pPr>
      <w:r>
        <w:rPr>
          <w:b/>
          <w:bCs/>
        </w:rPr>
        <w:t xml:space="preserve">Step 1 — </w:t>
      </w:r>
      <w:r>
        <w:rPr>
          <w:b/>
          <w:bCs/>
        </w:rPr>
        <w:t xml:space="preserve">Wait</w:t>
      </w:r>
      <w:r>
        <w:t xml:space="preserve">: 3 days (same elapsed time as the Day 3 nudge in Workflow 5 — intentional, this is the “no reply” check).</w:t>
      </w:r>
    </w:p>
    <w:p>
      <w:pPr>
        <w:spacing w:after="100"/>
      </w:pPr>
      <w:r>
        <w:rPr>
          <w:b/>
          <w:bCs/>
        </w:rPr>
        <w:t xml:space="preserve">Step 2 — </w:t>
      </w:r>
      <w:r>
        <w:rPr>
          <w:b/>
          <w:bCs/>
        </w:rPr>
        <w:t xml:space="preserve">If/Else — condition: Contact has tag Quote-Sent AND does NOT have tag Negotiation or Quotation-Accepted</w:t>
      </w:r>
      <w:r>
        <w:t xml:space="preserve">: true → continue (genuinely no reply/movement). False → End Workflow.</w:t>
      </w:r>
    </w:p>
    <w:p>
      <w:pPr>
        <w:spacing w:after="100"/>
      </w:pPr>
      <w:r>
        <w:rPr>
          <w:b/>
          <w:bCs/>
        </w:rPr>
        <w:t xml:space="preserve">Step 3 — </w:t>
      </w:r>
      <w:r>
        <w:rPr>
          <w:b/>
          <w:bCs/>
        </w:rPr>
        <w:t xml:space="preserve">Update Opportunity</w:t>
      </w:r>
      <w:r>
        <w:t xml:space="preserve">: Stage ← Abandoned.</w:t>
      </w:r>
    </w:p>
    <w:p>
      <w:pPr>
        <w:spacing w:after="100"/>
      </w:pPr>
      <w:r>
        <w:rPr>
          <w:b/>
          <w:bCs/>
        </w:rPr>
        <w:t xml:space="preserve">Step 4 — </w:t>
      </w:r>
      <w:r>
        <w:rPr>
          <w:b/>
          <w:bCs/>
        </w:rPr>
        <w:t xml:space="preserve">Add Tag</w:t>
      </w:r>
      <w:r>
        <w:t xml:space="preserve">: Nurture-Abandoned.</w:t>
      </w:r>
    </w:p>
    <w:p>
      <w:pPr>
        <w:spacing w:after="100"/>
      </w:pPr>
      <w:r>
        <w:rPr>
          <w:b/>
          <w:bCs/>
        </w:rPr>
        <w:t xml:space="preserve">Step 5 — </w:t>
      </w:r>
      <w:r>
        <w:rPr>
          <w:b/>
          <w:bCs/>
        </w:rPr>
        <w:t xml:space="preserve">Remove Tag</w:t>
      </w:r>
      <w:r>
        <w:t xml:space="preserve">: Quote-Sent.</w:t>
      </w:r>
    </w:p>
    <w:p>
      <w:pPr>
        <w:spacing w:after="100"/>
      </w:pPr>
      <w:r>
        <w:rPr>
          <w:b/>
          <w:bCs/>
        </w:rPr>
        <w:t xml:space="preserve">Step 6 — </w:t>
      </w:r>
      <w:r>
        <w:rPr>
          <w:b/>
          <w:bCs/>
        </w:rPr>
        <w:t xml:space="preserve">Add to Workflow / Campaign</w:t>
      </w:r>
      <w:r>
        <w:t xml:space="preserve">: enroll the contact in a monthly nurture sequence (build a simple separate “Abandoned Monthly Nurture” email campaign if one doesn't exist — outside the scope of these 11, flag to Kumar if needed).</w:t>
      </w:r>
    </w:p>
    <w:p>
      <w:pPr>
        <w:spacing w:after="100"/>
      </w:pPr>
      <w:r>
        <w:rPr>
          <w:b/>
          <w:bCs/>
        </w:rPr>
        <w:t xml:space="preserve">Step 7 — </w:t>
      </w:r>
      <w:r>
        <w:rPr>
          <w:b/>
          <w:bCs/>
        </w:rPr>
        <w:t xml:space="preserve">Create Task</w:t>
      </w:r>
      <w:r>
        <w:t xml:space="preserve">: Title “90-day re-engagement check”, assigned to rep, due in 90 days.</w:t>
      </w:r>
    </w:p>
    <w:p>
      <w:pPr>
        <w:pBdr>
          <w:bottom w:val="single" w:color="CBD5E1" w:sz="6" w:space="4"/>
        </w:pBdr>
        <w:spacing w:after="200" w:before="200"/>
      </w:pPr>
      <w:r>
        <w:t xml:space="preserve"/>
      </w:r>
    </w:p>
    <w:p>
      <w:pPr>
        <w:pBdr>
          <w:left w:val="single" w:color="B45309" w:sz="24" w:space="8"/>
        </w:pBdr>
        <w:spacing w:after="150" w:before="100"/>
        <w:ind w:left="200"/>
      </w:pPr>
      <w:r>
        <w:rPr>
          <w:b/>
          <w:bCs/>
          <w:color w:val="B45309"/>
        </w:rPr>
        <w:t xml:space="preserve">Milestone 1B — parked, not built here: </w:t>
      </w:r>
      <w:r>
        <w:t xml:space="preserve">The SOP also lists a “push to Google Ads Customer Match” action on Abandoned and a “send offline conversion to Google Ads” action on Paid &amp; Won. Both require the GTM/Google Ads setup that Milestone 1B covers, which is on hold. Workflows 7 and 9 above are written without those steps. When 1B is scoped, add: Workflow 8 — after “Add Tag Nurture-Abandoned,” add a “Google Ads — Customer Match” action (native GHL integration, or an outbound webhook to n8n) pushing the contact's email to audience GHL-Abandoned-RFQ. Workflow 9 — after “Add Tag Closed-Won,” add a webhook to n8n → Google Ads Conversions API, mapping email/gclid + Quoted value (USD) + timestamp to conversion action GHL_Closed_Won.</w:t>
      </w:r>
    </w:p>
    <w:p>
      <w:pPr>
        <w:pStyle w:val="Heading1"/>
        <w:spacing w:after="200" w:before="400"/>
      </w:pPr>
      <w:r>
        <w:t xml:space="preserve">8. Workflow 9 — Paid &amp; Won (Stop &amp; Tag). Paid &amp; Won — Stop Sequences &amp; Tag Customer</w:t>
      </w:r>
    </w:p>
    <w:p>
      <w:pPr>
        <w:spacing w:after="120"/>
      </w:pPr>
      <w:r>
        <w:rPr>
          <w:b/>
          <w:bCs/>
        </w:rPr>
        <w:t xml:space="preserve">Purpose: </w:t>
      </w:r>
      <w:r>
        <w:t xml:space="preserve">Fires the moment BysonHub confirms payment and the opportunity lands on Paid &amp; Won.</w:t>
      </w:r>
    </w:p>
    <w:p>
      <w:pPr>
        <w:pStyle w:val="Heading3"/>
        <w:spacing w:after="100" w:before="200"/>
      </w:pPr>
      <w:r>
        <w:t xml:space="preserve">Trigger</w:t>
      </w:r>
    </w:p>
    <w:p>
      <w:pPr>
        <w:pStyle w:val="ListParagraph"/>
        <w:numPr>
          <w:ilvl w:val="0"/>
          <w:numId w:val="2"/>
        </w:numPr>
        <w:spacing w:after="60"/>
      </w:pPr>
      <w:r>
        <w:t xml:space="preserve">Trigger type: Pipeline Stage Changed</w:t>
      </w:r>
    </w:p>
    <w:p>
      <w:pPr>
        <w:pStyle w:val="ListParagraph"/>
        <w:numPr>
          <w:ilvl w:val="0"/>
          <w:numId w:val="2"/>
        </w:numPr>
        <w:spacing w:after="60"/>
      </w:pPr>
      <w:r>
        <w:t xml:space="preserve">Pipeline: RFQ Pipeline</w:t>
      </w:r>
    </w:p>
    <w:p>
      <w:pPr>
        <w:pStyle w:val="ListParagraph"/>
        <w:numPr>
          <w:ilvl w:val="0"/>
          <w:numId w:val="2"/>
        </w:numPr>
        <w:spacing w:after="60"/>
      </w:pPr>
      <w:r>
        <w:t xml:space="preserve">Stage: Paid &amp; Won (entered)</w:t>
      </w:r>
    </w:p>
    <w:p>
      <w:pPr>
        <w:pStyle w:val="Heading3"/>
        <w:spacing w:after="100" w:before="200"/>
      </w:pPr>
      <w:r>
        <w:t xml:space="preserve">Build steps</w:t>
      </w:r>
    </w:p>
    <w:p>
      <w:pPr>
        <w:spacing w:after="100"/>
      </w:pPr>
      <w:r>
        <w:rPr>
          <w:b/>
          <w:bCs/>
        </w:rPr>
        <w:t xml:space="preserve">Step 1 — </w:t>
      </w:r>
      <w:r>
        <w:rPr>
          <w:b/>
          <w:bCs/>
        </w:rPr>
        <w:t xml:space="preserve">Remove Tag</w:t>
      </w:r>
      <w:r>
        <w:t xml:space="preserve">: Quote-Sent, Negotiation, Quotation-Accepted, Nurture-Abandoned (clear every prior-stage tag so no nudge/nurture workflow can still be watching this contact).</w:t>
      </w:r>
    </w:p>
    <w:p>
      <w:pPr>
        <w:spacing w:after="100"/>
      </w:pPr>
      <w:r>
        <w:rPr>
          <w:b/>
          <w:bCs/>
        </w:rPr>
        <w:t xml:space="preserve">Step 2 — </w:t>
      </w:r>
      <w:r>
        <w:rPr>
          <w:b/>
          <w:bCs/>
        </w:rPr>
        <w:t xml:space="preserve">Add Tag</w:t>
      </w:r>
      <w:r>
        <w:t xml:space="preserve">: Customer, Closed-Won.</w:t>
      </w:r>
    </w:p>
    <w:p>
      <w:pPr>
        <w:spacing w:after="100"/>
      </w:pPr>
      <w:r>
        <w:rPr>
          <w:b/>
          <w:bCs/>
        </w:rPr>
        <w:t xml:space="preserve">Step 3 — </w:t>
      </w:r>
      <w:r>
        <w:rPr>
          <w:b/>
          <w:bCs/>
        </w:rPr>
        <w:t xml:space="preserve">Update Opportunity</w:t>
      </w:r>
      <w:r>
        <w:t xml:space="preserve">: Status ← Won.</w:t>
      </w:r>
    </w:p>
    <w:p>
      <w:pPr>
        <w:pBdr>
          <w:left w:val="single" w:color="1D4ED8" w:sz="24" w:space="8"/>
        </w:pBdr>
        <w:spacing w:after="150" w:before="100"/>
        <w:ind w:left="200"/>
      </w:pPr>
      <w:r>
        <w:rPr>
          <w:b/>
          <w:bCs/>
          <w:color w:val="1D4ED8"/>
        </w:rPr>
        <w:t xml:space="preserve">Customer email content: </w:t>
      </w:r>
      <w:r>
        <w:t xml:space="preserve">No invoice, no payment confirmation email here — BysonHub already handled that. This workflow only cleans up tags and hands off to the nurture workflows below.</w:t>
      </w:r>
    </w:p>
    <w:p>
      <w:pPr>
        <w:pBdr>
          <w:bottom w:val="single" w:color="CBD5E1" w:sz="6" w:space="4"/>
        </w:pBdr>
        <w:spacing w:after="200" w:before="200"/>
      </w:pPr>
      <w:r>
        <w:t xml:space="preserve"/>
      </w:r>
    </w:p>
    <w:p>
      <w:pPr>
        <w:pStyle w:val="Heading1"/>
        <w:spacing w:after="200" w:before="400"/>
      </w:pPr>
      <w:r>
        <w:t xml:space="preserve">9. Workflow 10 — Post-Purchase Nurture (Day 3 &amp; 14). Paid &amp; Won — Post-Purchase Nurture, Day 3 + Day 14</w:t>
      </w:r>
    </w:p>
    <w:p>
      <w:pPr>
        <w:spacing w:after="120"/>
      </w:pPr>
      <w:r>
        <w:rPr>
          <w:b/>
          <w:bCs/>
        </w:rPr>
        <w:t xml:space="preserve">Purpose: </w:t>
      </w:r>
      <w:r>
        <w:t xml:space="preserve">Light-touch relationship nurture after the sale, not a sales push.</w:t>
      </w:r>
    </w:p>
    <w:p>
      <w:pPr>
        <w:pStyle w:val="Heading3"/>
        <w:spacing w:after="100" w:before="200"/>
      </w:pPr>
      <w:r>
        <w:t xml:space="preserve">Trigger</w:t>
      </w:r>
    </w:p>
    <w:p>
      <w:pPr>
        <w:pStyle w:val="ListParagraph"/>
        <w:numPr>
          <w:ilvl w:val="0"/>
          <w:numId w:val="2"/>
        </w:numPr>
        <w:spacing w:after="60"/>
      </w:pPr>
      <w:r>
        <w:t xml:space="preserve">Trigger type: Tag Added</w:t>
      </w:r>
    </w:p>
    <w:p>
      <w:pPr>
        <w:pStyle w:val="ListParagraph"/>
        <w:numPr>
          <w:ilvl w:val="0"/>
          <w:numId w:val="2"/>
        </w:numPr>
        <w:spacing w:after="60"/>
      </w:pPr>
      <w:r>
        <w:t xml:space="preserve">Tag: Customer</w:t>
      </w:r>
    </w:p>
    <w:p>
      <w:pPr>
        <w:pStyle w:val="Heading3"/>
        <w:spacing w:after="100" w:before="200"/>
      </w:pPr>
      <w:r>
        <w:t xml:space="preserve">Build steps</w:t>
      </w:r>
    </w:p>
    <w:p>
      <w:pPr>
        <w:spacing w:after="100"/>
      </w:pPr>
      <w:r>
        <w:rPr>
          <w:b/>
          <w:bCs/>
        </w:rPr>
        <w:t xml:space="preserve">Step 1 — </w:t>
      </w:r>
      <w:r>
        <w:rPr>
          <w:b/>
          <w:bCs/>
        </w:rPr>
        <w:t xml:space="preserve">Wait</w:t>
      </w:r>
      <w:r>
        <w:t xml:space="preserve">: 3 days.</w:t>
      </w:r>
    </w:p>
    <w:p>
      <w:pPr>
        <w:spacing w:after="100"/>
      </w:pPr>
      <w:r>
        <w:rPr>
          <w:b/>
          <w:bCs/>
        </w:rPr>
        <w:t xml:space="preserve">Step 2 — </w:t>
      </w:r>
      <w:r>
        <w:rPr>
          <w:b/>
          <w:bCs/>
        </w:rPr>
        <w:t xml:space="preserve">Send Email</w:t>
      </w:r>
      <w:r>
        <w:t xml:space="preserve">: to contact — Day 3 check-in, see content note.</w:t>
      </w:r>
    </w:p>
    <w:p>
      <w:pPr>
        <w:spacing w:after="100"/>
      </w:pPr>
      <w:r>
        <w:rPr>
          <w:b/>
          <w:bCs/>
        </w:rPr>
        <w:t xml:space="preserve">Step 3 — </w:t>
      </w:r>
      <w:r>
        <w:rPr>
          <w:b/>
          <w:bCs/>
        </w:rPr>
        <w:t xml:space="preserve">Wait</w:t>
      </w:r>
      <w:r>
        <w:t xml:space="preserve">: 11 more days (Day 14 total).</w:t>
      </w:r>
    </w:p>
    <w:p>
      <w:pPr>
        <w:spacing w:after="100"/>
      </w:pPr>
      <w:r>
        <w:rPr>
          <w:b/>
          <w:bCs/>
        </w:rPr>
        <w:t xml:space="preserve">Step 4 — </w:t>
      </w:r>
      <w:r>
        <w:rPr>
          <w:b/>
          <w:bCs/>
        </w:rPr>
        <w:t xml:space="preserve">Send Email</w:t>
      </w:r>
      <w:r>
        <w:t xml:space="preserve">: to contact — Day 14 touch, see content note.</w:t>
      </w:r>
    </w:p>
    <w:p>
      <w:pPr>
        <w:pBdr>
          <w:left w:val="single" w:color="15803D" w:sz="24" w:space="8"/>
        </w:pBdr>
        <w:spacing w:after="150" w:before="100"/>
        <w:ind w:left="200"/>
      </w:pPr>
      <w:r>
        <w:rPr>
          <w:b/>
          <w:bCs/>
          <w:color w:val="15803D"/>
        </w:rPr>
        <w:t xml:space="preserve">Test before publishing: </w:t>
      </w:r>
      <w:r>
        <w:t xml:space="preserve">Day 3: “Thanks for your order — let us know if everything arrived as expected or if you have any questions using the product.”  Day 14: “Hope things are going well with your recent order — happy to help with reorders or related products anytime.”</w:t>
      </w:r>
    </w:p>
    <w:p>
      <w:pPr>
        <w:pBdr>
          <w:bottom w:val="single" w:color="CBD5E1" w:sz="6" w:space="4"/>
        </w:pBdr>
        <w:spacing w:after="200" w:before="200"/>
      </w:pPr>
      <w:r>
        <w:t xml:space="preserve"/>
      </w:r>
    </w:p>
    <w:p>
      <w:pPr>
        <w:pStyle w:val="Heading1"/>
        <w:spacing w:after="200" w:before="400"/>
      </w:pPr>
      <w:r>
        <w:t xml:space="preserve">10. Workflow 11 — Post-Purchase Nurture (Day 30). Paid &amp; Won — Post-Purchase Nurture, Day 30</w:t>
      </w:r>
    </w:p>
    <w:p>
      <w:pPr>
        <w:spacing w:after="120"/>
      </w:pPr>
      <w:r>
        <w:rPr>
          <w:b/>
          <w:bCs/>
        </w:rPr>
        <w:t xml:space="preserve">Purpose: </w:t>
      </w:r>
      <w:r>
        <w:t xml:space="preserve">Kept as its own workflow (rather than a third step tacked onto Workflow 10) so it's easy to redirect into a recurring/repeating nurture later without touching the Day 3/14 timing.</w:t>
      </w:r>
    </w:p>
    <w:p>
      <w:pPr>
        <w:pStyle w:val="Heading3"/>
        <w:spacing w:after="100" w:before="200"/>
      </w:pPr>
      <w:r>
        <w:t xml:space="preserve">Trigger</w:t>
      </w:r>
    </w:p>
    <w:p>
      <w:pPr>
        <w:pStyle w:val="ListParagraph"/>
        <w:numPr>
          <w:ilvl w:val="0"/>
          <w:numId w:val="2"/>
        </w:numPr>
        <w:spacing w:after="60"/>
      </w:pPr>
      <w:r>
        <w:t xml:space="preserve">Trigger type: Tag Added</w:t>
      </w:r>
    </w:p>
    <w:p>
      <w:pPr>
        <w:pStyle w:val="ListParagraph"/>
        <w:numPr>
          <w:ilvl w:val="0"/>
          <w:numId w:val="2"/>
        </w:numPr>
        <w:spacing w:after="60"/>
      </w:pPr>
      <w:r>
        <w:t xml:space="preserve">Tag: Customer</w:t>
      </w:r>
    </w:p>
    <w:p>
      <w:pPr>
        <w:pStyle w:val="Heading3"/>
        <w:spacing w:after="100" w:before="200"/>
      </w:pPr>
      <w:r>
        <w:t xml:space="preserve">Build steps</w:t>
      </w:r>
    </w:p>
    <w:p>
      <w:pPr>
        <w:spacing w:after="100"/>
      </w:pPr>
      <w:r>
        <w:rPr>
          <w:b/>
          <w:bCs/>
        </w:rPr>
        <w:t xml:space="preserve">Step 1 — </w:t>
      </w:r>
      <w:r>
        <w:rPr>
          <w:b/>
          <w:bCs/>
        </w:rPr>
        <w:t xml:space="preserve">Wait</w:t>
      </w:r>
      <w:r>
        <w:t xml:space="preserve">: 30 days.</w:t>
      </w:r>
    </w:p>
    <w:p>
      <w:pPr>
        <w:spacing w:after="100"/>
      </w:pPr>
      <w:r>
        <w:rPr>
          <w:b/>
          <w:bCs/>
        </w:rPr>
        <w:t xml:space="preserve">Step 2 — </w:t>
      </w:r>
      <w:r>
        <w:rPr>
          <w:b/>
          <w:bCs/>
        </w:rPr>
        <w:t xml:space="preserve">Send Email</w:t>
      </w:r>
      <w:r>
        <w:t xml:space="preserve">: to contact — Day 30 touch, see content note.</w:t>
      </w:r>
    </w:p>
    <w:p>
      <w:pPr>
        <w:spacing w:after="100"/>
      </w:pPr>
      <w:r>
        <w:rPr>
          <w:b/>
          <w:bCs/>
        </w:rPr>
        <w:t xml:space="preserve">Step 3 — </w:t>
      </w:r>
      <w:r>
        <w:rPr>
          <w:b/>
          <w:bCs/>
        </w:rPr>
        <w:t xml:space="preserve">Create Task</w:t>
      </w:r>
      <w:r>
        <w:t xml:space="preserve">: Title “30-day customer check-in complete — consider reorder outreach”, assigned to rep, for visibility only.</w:t>
      </w:r>
    </w:p>
    <w:p>
      <w:pPr>
        <w:pBdr>
          <w:left w:val="single" w:color="15803D" w:sz="24" w:space="8"/>
        </w:pBdr>
        <w:spacing w:after="150" w:before="100"/>
        <w:ind w:left="200"/>
      </w:pPr>
      <w:r>
        <w:rPr>
          <w:b/>
          <w:bCs/>
          <w:color w:val="15803D"/>
        </w:rPr>
        <w:t xml:space="preserve">Test before publishing: </w:t>
      </w:r>
      <w:r>
        <w:t xml:space="preserve">It's been about a month since your order — if you're due for a reorder or exploring related products, we're here whenever you're ready.</w:t>
      </w:r>
    </w:p>
    <w:p>
      <w:pPr>
        <w:pBdr>
          <w:bottom w:val="single" w:color="CBD5E1" w:sz="6" w:space="4"/>
        </w:pBdr>
        <w:spacing w:after="200" w:before="200"/>
      </w:pPr>
      <w:r>
        <w:t xml:space="preserve"/>
      </w:r>
    </w:p>
    <w:p>
      <w:pPr>
        <w:pStyle w:val="Heading1"/>
        <w:spacing w:after="200" w:before="400"/>
      </w:pPr>
      <w:r>
        <w:t xml:space="preserve">11. Workflow 12 — Backup Form Intake. Backup Form — Manual Lead Logging</w:t>
      </w:r>
    </w:p>
    <w:p>
      <w:pPr>
        <w:spacing w:after="120"/>
      </w:pPr>
      <w:r>
        <w:rPr>
          <w:b/>
          <w:bCs/>
        </w:rPr>
        <w:t xml:space="preserve">Purpose: </w:t>
      </w:r>
      <w:r>
        <w:t xml:space="preserve">Per SOP §4.1: a native GHL form for the team to log a lead taken over phone/email. Not embedded on the website — internal use only.</w:t>
      </w:r>
    </w:p>
    <w:p>
      <w:pPr>
        <w:pStyle w:val="Heading3"/>
        <w:spacing w:after="100" w:before="200"/>
      </w:pPr>
      <w:r>
        <w:t xml:space="preserve">Trigger</w:t>
      </w:r>
    </w:p>
    <w:p>
      <w:pPr>
        <w:pStyle w:val="ListParagraph"/>
        <w:numPr>
          <w:ilvl w:val="0"/>
          <w:numId w:val="2"/>
        </w:numPr>
        <w:spacing w:after="60"/>
      </w:pPr>
      <w:r>
        <w:t xml:space="preserve">Trigger type: Form Submitted</w:t>
      </w:r>
    </w:p>
    <w:p>
      <w:pPr>
        <w:pStyle w:val="ListParagraph"/>
        <w:numPr>
          <w:ilvl w:val="0"/>
          <w:numId w:val="2"/>
        </w:numPr>
        <w:spacing w:after="60"/>
      </w:pPr>
      <w:r>
        <w:t xml:space="preserve">Form: build first — see build steps below</w:t>
      </w:r>
    </w:p>
    <w:p>
      <w:pPr>
        <w:pStyle w:val="Heading3"/>
        <w:spacing w:after="100" w:before="200"/>
      </w:pPr>
      <w:r>
        <w:t xml:space="preserve">Build steps</w:t>
      </w:r>
    </w:p>
    <w:p>
      <w:pPr>
        <w:spacing w:after="100"/>
      </w:pPr>
      <w:r>
        <w:rPr>
          <w:b/>
          <w:bCs/>
        </w:rPr>
        <w:t xml:space="preserve">Step 1 — </w:t>
      </w:r>
      <w:r>
        <w:rPr>
          <w:b/>
          <w:bCs/>
        </w:rPr>
        <w:t xml:space="preserve">Build the form</w:t>
      </w:r>
      <w:r>
        <w:t xml:space="preserve">: Sites → Forms → + New Form. Fields: Name, Email, Company, Product category interest (reuse the existing Multiple Options custom field, do not create a new one).</w:t>
      </w:r>
    </w:p>
    <w:p>
      <w:pPr>
        <w:spacing w:after="100"/>
      </w:pPr>
      <w:r>
        <w:rPr>
          <w:b/>
          <w:bCs/>
        </w:rPr>
        <w:t xml:space="preserve">Step 2 — </w:t>
      </w:r>
      <w:r>
        <w:rPr>
          <w:b/>
          <w:bCs/>
        </w:rPr>
        <w:t xml:space="preserve">Create the workflow</w:t>
      </w:r>
      <w:r>
        <w:t xml:space="preserve">: trigger Form Submitted → this form.</w:t>
      </w:r>
    </w:p>
    <w:p>
      <w:pPr>
        <w:spacing w:after="100"/>
      </w:pPr>
      <w:r>
        <w:rPr>
          <w:b/>
          <w:bCs/>
        </w:rPr>
        <w:t xml:space="preserve">Step 3 — </w:t>
      </w:r>
      <w:r>
        <w:rPr>
          <w:b/>
          <w:bCs/>
        </w:rPr>
        <w:t xml:space="preserve">Create/Update Contact</w:t>
      </w:r>
      <w:r>
        <w:t xml:space="preserve">: from form submission (standard first action GHL adds automatically).</w:t>
      </w:r>
    </w:p>
    <w:p>
      <w:pPr>
        <w:spacing w:after="100"/>
      </w:pPr>
      <w:r>
        <w:rPr>
          <w:b/>
          <w:bCs/>
        </w:rPr>
        <w:t xml:space="preserve">Step 4 — </w:t>
      </w:r>
      <w:r>
        <w:rPr>
          <w:b/>
          <w:bCs/>
        </w:rPr>
        <w:t xml:space="preserve">Create Opportunity</w:t>
      </w:r>
      <w:r>
        <w:t xml:space="preserve">: in RFQ Pipeline, stage New RFQ.</w:t>
      </w:r>
    </w:p>
    <w:p>
      <w:pPr>
        <w:spacing w:after="100"/>
      </w:pPr>
      <w:r>
        <w:rPr>
          <w:b/>
          <w:bCs/>
        </w:rPr>
        <w:t xml:space="preserve">Step 5 — </w:t>
      </w:r>
      <w:r>
        <w:rPr>
          <w:b/>
          <w:bCs/>
        </w:rPr>
        <w:t xml:space="preserve">Add Tag</w:t>
      </w:r>
      <w:r>
        <w:t xml:space="preserve">: RFQ-New, Cat-&lt;Category&gt; (based on the submitted Product category interest value — use an If/Else per category, same pattern as Workflow 1).</w:t>
      </w:r>
    </w:p>
    <w:p>
      <w:pPr>
        <w:spacing w:after="100"/>
      </w:pPr>
      <w:r>
        <w:rPr>
          <w:b/>
          <w:bCs/>
        </w:rPr>
        <w:t xml:space="preserve">Step 6 — </w:t>
      </w:r>
      <w:r>
        <w:rPr>
          <w:b/>
          <w:bCs/>
        </w:rPr>
        <w:t xml:space="preserve">Update Contact Field</w:t>
      </w:r>
      <w:r>
        <w:t xml:space="preserve">: Lead source ← “Website submission” is wrong here — there is no matching option for “manual/phone” in the current picklist. Either pick the closest existing option (Direct) or ask Kumar to add a “Manual entry” option to the Lead source field before publishing this workflow.</w:t>
      </w:r>
    </w:p>
    <w:p>
      <w:pPr>
        <w:spacing w:after="100"/>
      </w:pPr>
      <w:r>
        <w:rPr>
          <w:b/>
          <w:bCs/>
        </w:rPr>
        <w:t xml:space="preserve">Step 7 — </w:t>
      </w:r>
      <w:r>
        <w:rPr>
          <w:b/>
          <w:bCs/>
        </w:rPr>
        <w:t xml:space="preserve">Create Task</w:t>
      </w:r>
      <w:r>
        <w:t xml:space="preserve">: Title “Review manually-logged RFQ”, assigned to rep, due 4 hours — mirrors Workflow 1's behavior.</w:t>
      </w:r>
    </w:p>
    <w:p>
      <w:pPr>
        <w:pBdr>
          <w:left w:val="single" w:color="1D4ED8" w:sz="24" w:space="8"/>
        </w:pBdr>
        <w:spacing w:after="150" w:before="100"/>
        <w:ind w:left="200"/>
      </w:pPr>
      <w:r>
        <w:rPr>
          <w:b/>
          <w:bCs/>
          <w:color w:val="1D4ED8"/>
        </w:rPr>
        <w:t xml:space="preserve">Customer email content: </w:t>
      </w:r>
      <w:r>
        <w:t xml:space="preserve">Submit a real test through the form and confirm the opportunity lands in New RFQ with the same tag/field pattern as a normal website RFQ, so reporting doesn't have to special-case these leads.</w:t>
      </w:r>
    </w:p>
    <w:p>
      <w:pPr>
        <w:pBdr>
          <w:bottom w:val="single" w:color="CBD5E1" w:sz="6" w:space="4"/>
        </w:pBdr>
        <w:spacing w:after="200" w:before="200"/>
      </w:pPr>
      <w:r>
        <w:t xml:space="preserve"/>
      </w:r>
    </w:p>
    <w:p>
      <w:pPr>
        <w:pStyle w:val="Heading1"/>
        <w:spacing w:after="200" w:before="400"/>
      </w:pPr>
      <w:r>
        <w:t xml:space="preserve">12. End-to-End Test Checklist</w:t>
      </w:r>
    </w:p>
    <w:p>
      <w:pPr>
        <w:spacing w:after="120"/>
      </w:pPr>
      <w:r>
        <w:t xml:space="preserve">Run this after all 11 workflows are built and published, using one throwaway test contact (reuse the existing “Test Test / test@test.com” contact already sitting in New RFQ, or create a fresh one).</w:t>
      </w:r>
    </w:p>
    <w:p>
      <w:pPr>
        <w:pStyle w:val="ListParagraph"/>
        <w:numPr>
          <w:ilvl w:val="0"/>
          <w:numId w:val="2"/>
        </w:numPr>
        <w:spacing w:after="60"/>
      </w:pPr>
      <w:r>
        <w:t xml:space="preserve">1. Confirm Workflow 1 (existing) tagged the contact RFQ-New and created the 4-hour review task.</w:t>
      </w:r>
    </w:p>
    <w:p>
      <w:pPr>
        <w:pStyle w:val="ListParagraph"/>
        <w:numPr>
          <w:ilvl w:val="0"/>
          <w:numId w:val="2"/>
        </w:numPr>
        <w:spacing w:after="60"/>
      </w:pPr>
      <w:r>
        <w:t xml:space="preserve">2. Manually drag the opportunity New RFQ → Under Review. Confirm Workflow 2 fires: tag swap, Day-1 task.</w:t>
      </w:r>
    </w:p>
    <w:p>
      <w:pPr>
        <w:pStyle w:val="ListParagraph"/>
        <w:numPr>
          <w:ilvl w:val="0"/>
          <w:numId w:val="2"/>
        </w:numPr>
        <w:spacing w:after="60"/>
      </w:pPr>
      <w:r>
        <w:t xml:space="preserve">3. Drag to Quote Sent. Confirm Workflow 3 sets Quote number / Quoted value / resets Follow-up count to 0, and tags Quote-Sent.</w:t>
      </w:r>
    </w:p>
    <w:p>
      <w:pPr>
        <w:pStyle w:val="ListParagraph"/>
        <w:numPr>
          <w:ilvl w:val="0"/>
          <w:numId w:val="2"/>
        </w:numPr>
        <w:spacing w:after="60"/>
      </w:pPr>
      <w:r>
        <w:t xml:space="preserve">4. With Wait steps temporarily shortened to minutes, confirm Workflow 4 (Day 2 email) and Workflow 5 (Day 3 email + task) both fire once each, in order, without duplicating.</w:t>
      </w:r>
    </w:p>
    <w:p>
      <w:pPr>
        <w:pStyle w:val="ListParagraph"/>
        <w:numPr>
          <w:ilvl w:val="0"/>
          <w:numId w:val="2"/>
        </w:numPr>
        <w:spacing w:after="60"/>
      </w:pPr>
      <w:r>
        <w:t xml:space="preserve">5. On a second test contact, after Quote Sent, drag to Negotiation / PO before the nudges fire. Confirm Workflow 6 removes Quote-Sent and that Workflows 4/5's in-flight waits exit via their If/Else instead of sending a nudge.</w:t>
      </w:r>
    </w:p>
    <w:p>
      <w:pPr>
        <w:pStyle w:val="ListParagraph"/>
        <w:numPr>
          <w:ilvl w:val="0"/>
          <w:numId w:val="2"/>
        </w:numPr>
        <w:spacing w:after="60"/>
      </w:pPr>
      <w:r>
        <w:t xml:space="preserve">6. Drag that same contact to Quotation Accepted. Confirm Workflow 7 fires and no further nudges arrive.</w:t>
      </w:r>
    </w:p>
    <w:p>
      <w:pPr>
        <w:pStyle w:val="ListParagraph"/>
        <w:numPr>
          <w:ilvl w:val="0"/>
          <w:numId w:val="2"/>
        </w:numPr>
        <w:spacing w:after="60"/>
      </w:pPr>
      <w:r>
        <w:t xml:space="preserve">7. On a third test contact, leave it sitting in Quote Sent with shortened waits and do nothing. Confirm Workflow 8 auto-moves it to Abandoned, tags Nurture-Abandoned, and Workflows 4/5 do NOT also fire an email after that point.</w:t>
      </w:r>
    </w:p>
    <w:p>
      <w:pPr>
        <w:pStyle w:val="ListParagraph"/>
        <w:numPr>
          <w:ilvl w:val="0"/>
          <w:numId w:val="2"/>
        </w:numPr>
        <w:spacing w:after="60"/>
      </w:pPr>
      <w:r>
        <w:t xml:space="preserve">8. Drag a contact to Paid &amp; Won. Confirm Workflow 9 clears every prior tag and adds Customer + Closed-Won, then Workflow 10 (Day 3/14) and Workflow 11 (Day 30) each fire on schedule with shortened waits.</w:t>
      </w:r>
    </w:p>
    <w:p>
      <w:pPr>
        <w:pStyle w:val="ListParagraph"/>
        <w:numPr>
          <w:ilvl w:val="0"/>
          <w:numId w:val="2"/>
        </w:numPr>
        <w:spacing w:after="60"/>
      </w:pPr>
      <w:r>
        <w:t xml:space="preserve">9. Submit the backup form (Workflow 12) and confirm it produces an opportunity identical in shape to a real website RFQ.</w:t>
      </w:r>
    </w:p>
    <w:p>
      <w:pPr>
        <w:pStyle w:val="ListParagraph"/>
        <w:numPr>
          <w:ilvl w:val="0"/>
          <w:numId w:val="2"/>
        </w:numPr>
        <w:spacing w:after="60"/>
      </w:pPr>
      <w:r>
        <w:t xml:space="preserve">10. Restore every shortened Wait step back to its real duration (days/business days) before leaving workflows published — this is the step most likely to get missed.</w:t>
      </w:r>
    </w:p>
    <w:p>
      <w:pPr>
        <w:spacing w:after="120"/>
      </w:pPr>
      <w:r>
        <w:rPr>
          <w:i/>
          <w:iCs/>
          <w:color w:val="6B7280"/>
        </w:rPr>
        <w:t xml:space="preserve">Once all 10 checks pass, this is Milestone 1A complete except for BysonHub's outbound status webhooks (blocked on Nihar, tracked separately) and the Milestone 1B Google Ads steps noted in §7 above.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2026-07-20T12:18:17.091Z</dcterms:created>
  <dcterms:modified xsi:type="dcterms:W3CDTF">2026-07-20T12:18:17.095Z</dcterms:modified>
</cp:coreProperties>
</file>

<file path=docProps/custom.xml><?xml version="1.0" encoding="utf-8"?>
<Properties xmlns="http://schemas.openxmlformats.org/officeDocument/2006/custom-properties" xmlns:vt="http://schemas.openxmlformats.org/officeDocument/2006/docPropsVTypes"/>
</file>