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D4ED8"/>
          <w:sz w:val="44"/>
          <w:szCs w:val="44"/>
        </w:rPr>
        <w:t xml:space="preserve">GlycoDepot × GoHighLevel</w:t>
      </w:r>
    </w:p>
    <w:p>
      <w:pPr>
        <w:spacing w:before="200"/>
        <w:jc w:val="center"/>
      </w:pPr>
      <w:r>
        <w:rPr>
          <w:b/>
          <w:bCs/>
          <w:sz w:val="32"/>
          <w:szCs w:val="32"/>
        </w:rPr>
        <w:t xml:space="preserve">Milestone 1A — Automation Build Guide (v2, corrected)</w:t>
      </w:r>
    </w:p>
    <w:p>
      <w:pPr>
        <w:spacing w:before="100"/>
        <w:jc w:val="center"/>
      </w:pPr>
      <w:r>
        <w:rPr>
          <w:color w:val="6B7280"/>
          <w:sz w:val="22"/>
          <w:szCs w:val="22"/>
        </w:rPr>
        <w:t xml:space="preserve">6 remaining workflows, matched exactly to SOW §3.4</w:t>
      </w:r>
    </w:p>
    <w:p>
      <w:pPr>
        <w:spacing w:before="600"/>
        <w:jc w:val="center"/>
      </w:pPr>
      <w:r>
        <w:rPr>
          <w:color w:val="6B7280"/>
          <w:sz w:val="20"/>
          <w:szCs w:val="20"/>
        </w:rPr>
        <w:t xml:space="preserve">Location: GlycoDepot  ·  Location ID: 8WV7PDrONMk3WR8fwyNo</w:t>
      </w:r>
    </w:p>
    <w:p>
      <w:pPr>
        <w:spacing w:before="100"/>
        <w:jc w:val="center"/>
      </w:pPr>
      <w:r>
        <w:rPr>
          <w:color w:val="6B7280"/>
          <w:sz w:val="20"/>
          <w:szCs w:val="20"/>
        </w:rPr>
        <w:t xml:space="preserve">Pipeline: RFQ Pipeline — 7 stages, all named exactly per SOW §3.1 (verified live)</w:t>
      </w:r>
    </w:p>
    <w:p>
      <w:r>
        <w:br w:type="page"/>
      </w:r>
    </w:p>
    <w:p>
      <w:pPr>
        <w:pStyle w:val="Heading1"/>
        <w:spacing w:after="200" w:before="400"/>
      </w:pPr>
      <w:r>
        <w:t xml:space="preserve">0. What changed from the first draft of this guide</w:t>
      </w:r>
    </w:p>
    <w:p>
      <w:pPr>
        <w:pBdr>
          <w:left w:val="single" w:color="B91C1C" w:sz="24" w:space="8"/>
        </w:pBdr>
        <w:spacing w:after="150" w:before="100"/>
        <w:ind w:left="200"/>
      </w:pPr>
      <w:r>
        <w:rPr>
          <w:b/>
          <w:bCs/>
          <w:color w:val="B91C1C"/>
        </w:rPr>
        <w:t xml:space="preserve">Correction: </w:t>
      </w:r>
      <w:r>
        <w:t xml:space="preserve">The previous version of this guide split SOW §3.4 into 11 separate workflows. That was wrong — re-reading the SOW's actual automation-sequences section, there are 7 automations total (matching the 7 numbered items — deliverables #6 to #12 — in the §6 deliverables checklist), not 12. Automation #1 ("New RFQ") is already built and published. That leaves 6 remaining, and the Day-2/Day-3 nudges inside "Quote Sent" and the Day-3/14/30 nurture inside "Paid &amp; Won" are sequential steps within ONE workflow each — not separate workflows. This version reflects that correctly.</w:t>
      </w:r>
    </w:p>
    <w:p>
      <w:pPr>
        <w:spacing w:after="120"/>
      </w:pPr>
      <w:r>
        <w:t xml:space="preserve">Also fixed directly via the GHL API while producing this guide: the Negotiation stage was live as “Negotiation / PO”, which doesn't match the SOW's required exact naming (§7: “Follow naming formats exactly as written in this document”). Renamed to “Negotiation” — verified live.</w:t>
      </w:r>
    </w:p>
    <w:p>
      <w:pPr>
        <w:pStyle w:val="Heading2"/>
        <w:spacing w:after="150" w:before="300"/>
      </w:pPr>
      <w:r>
        <w:t xml:space="preserve">0.1 What's already built (do not rebuild)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 “RFQ Pipeline” — 7 stages, all named exactly per SOW §3.1: New RFQ, Under Review, Quote Sent, Negotiation, Quotation Accepted, Paid &amp; Won, Abandoned.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 contact-level custom fields per SOW §3.2 (see reference table below) — verified live, correct types.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“GlycoDepot - RFQ Intake and Follow-Up” (published) — this is automation #1, “New RFQ”. Open it and confirm it does everything SOW §3.4's first trigger block requires: creates/updates the contact + opportunity at New RFQ, maps all §3.2 fields, tags RFQ-New + Cat-&lt;Category&gt;, creates a “Review new RFQ” task due in 4 hours, and does NOT send a customer confirmation email (BysonHub already does). Patch anything missing before relying on it — every workflow below assumes it already ran.</w:t>
      </w:r>
    </w:p>
    <w:p>
      <w:pPr>
        <w:pStyle w:val="Heading2"/>
        <w:spacing w:after="150" w:before="300"/>
      </w:pPr>
      <w:r>
        <w:t xml:space="preserve">0.2 Non-negotiable rule (SOW §7, ownership boundary)</w:t>
      </w:r>
    </w:p>
    <w:p>
      <w:pPr>
        <w:pBdr>
          <w:left w:val="single" w:color="B91C1C" w:sz="24" w:space="8"/>
        </w:pBdr>
        <w:spacing w:after="150" w:before="100"/>
        <w:ind w:left="200"/>
      </w:pPr>
      <w:r>
        <w:rPr>
          <w:b/>
          <w:bCs/>
          <w:color w:val="B91C1C"/>
        </w:rPr>
        <w:t xml:space="preserve">Ownership boundary: </w:t>
      </w:r>
      <w:r>
        <w:t xml:space="preserve">No workflow below may send a quotation, payment link, or invoice to the customer. BysonHub owns all of that. Every customer-facing email in this guide is a nudge/reminder/nurture message only — never a re-send of pricing, payment, or quotation content.</w:t>
      </w:r>
    </w:p>
    <w:p>
      <w:pPr>
        <w:pStyle w:val="Heading2"/>
        <w:spacing w:after="150" w:before="300"/>
      </w:pPr>
      <w:r>
        <w:t xml:space="preserve">0.3 The 6 remaining automations — one workflow each</w:t>
      </w:r>
    </w:p>
    <w:p>
      <w:pPr>
        <w:spacing w:after="120"/>
      </w:pPr>
      <w:r>
        <w:t xml:space="preserve">Each maps to exactly one trigger block in SOW §3.4. Build each as ONE GHL workflow; where the SOW describes a multi-day sequence (Quote Sent, Paid &amp; Won), that's sequential Wait steps inside that same workflow, not separate workflows.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200"/>
        <w:gridCol w:w="2500"/>
      </w:tblGrid>
      <w:tr>
        <w:trPr>
          <w:tblHeader/>
        </w:trPr>
        <w:tc>
          <w:tcPr>
            <w:tcW w:type="dxa" w:w="7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6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Automation</w:t>
            </w:r>
          </w:p>
        </w:tc>
        <w:tc>
          <w:tcPr>
            <w:tcW w:type="dxa" w:w="42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Trigger</w:t>
            </w:r>
          </w:p>
        </w:tc>
        <w:tc>
          <w:tcPr>
            <w:tcW w:type="dxa" w:w="25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Deliverable ref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New RFQ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Byson Hub webhook — New Enquiry</w:t>
            </w:r>
          </w:p>
        </w:tc>
        <w:tc>
          <w:tcPr>
            <w:tcW w:type="dxa" w:w="25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#6 — already built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Under Review</w:t>
            </w:r>
          </w:p>
        </w:tc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Stage synced to Under Review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Quote Sent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Stage synced to Quote Sent (incl. Day 2 + Day 3 nudges)</w:t>
            </w:r>
          </w:p>
        </w:tc>
        <w:tc>
          <w:tcPr>
            <w:tcW w:type="dxa" w:w="25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#8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Negotiation</w:t>
            </w:r>
          </w:p>
        </w:tc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Stage synced to Negotiation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#9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Quotation Accepted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Stage synced to Quotation Accepted</w:t>
            </w:r>
          </w:p>
        </w:tc>
        <w:tc>
          <w:tcPr>
            <w:tcW w:type="dxa" w:w="25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#10</w:t>
            </w:r>
          </w:p>
        </w:tc>
      </w:tr>
      <w:tr>
        <w:tc>
          <w:tcPr>
            <w:tcW w:type="dxa" w:w="7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Abandoned</w:t>
            </w:r>
          </w:p>
        </w:tc>
        <w:tc>
          <w:tcPr>
            <w:tcW w:type="dxa" w:w="4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reply by Day 3 after Quote Sent — GHL-internal inactivity logic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#11</w:t>
            </w:r>
          </w:p>
        </w:tc>
      </w:tr>
      <w:tr>
        <w:tc>
          <w:tcPr>
            <w:tcW w:type="dxa" w:w="7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Paid &amp; Won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Stage synced to Paid &amp; Won (incl. Day 3/14/30 nurture)</w:t>
            </w:r>
          </w:p>
        </w:tc>
        <w:tc>
          <w:tcPr>
            <w:tcW w:type="dxa" w:w="25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#12</w:t>
            </w:r>
          </w:p>
        </w:tc>
      </w:tr>
    </w:tbl>
    <w:p>
      <w:pPr>
        <w:pBdr>
          <w:left w:val="single" w:color="B45309" w:sz="24" w:space="8"/>
        </w:pBdr>
        <w:spacing w:after="150" w:before="100"/>
        <w:ind w:left="200"/>
      </w:pPr>
      <w:r>
        <w:rPr>
          <w:b/>
          <w:bCs/>
          <w:color w:val="B45309"/>
        </w:rPr>
        <w:t xml:space="preserve">On Sooraj's “one or two workflows” suggestion: </w:t>
      </w:r>
      <w:r>
        <w:t xml:space="preserve">Partially right, not fully. Automations #3 (Quote Sent) and #6 (Abandoned) share the same real-world anchor — both hinge on “3 days since Quote Sent, no reply.” Those two CAN reasonably be merged into a single workflow (one trigger — tag added: Quote-Sent — with parallel branches for Day 2 nudge, Day 3 nudge, and the Day 3 abandon-check). That's a legitimate simplification — §5 below shows how, as an optional variant. But #2, #4, #5, #7 fire on genuinely different pipeline-stage-entry events; cramming all 6 into “one or two” workflows means one shared canvas where editing one stage's logic risks breaking the others, and GHL canvases with 6 different trigger events branching internally get hard to debug fast. Recommend: 5–6 workflows, not 1–2.</w:t>
      </w:r>
    </w:p>
    <w:p>
      <w:pPr>
        <w:pStyle w:val="Heading2"/>
        <w:spacing w:after="150" w:before="300"/>
      </w:pPr>
      <w:r>
        <w:t xml:space="preserve">0.4 Reference — tags used across these workflows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4000"/>
      </w:tblGrid>
      <w:tr>
        <w:trPr>
          <w:tblHeader/>
        </w:trPr>
        <w:tc>
          <w:tcPr>
            <w:tcW w:type="dxa" w:w="34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Tag</w:t>
            </w:r>
          </w:p>
        </w:tc>
        <w:tc>
          <w:tcPr>
            <w:tcW w:type="dxa" w:w="24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Applied by</w:t>
            </w:r>
          </w:p>
        </w:tc>
        <w:tc>
          <w:tcPr>
            <w:tcW w:type="dxa" w:w="40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RFQ-New</w:t>
            </w:r>
          </w:p>
        </w:tc>
        <w:tc>
          <w:tcPr>
            <w:tcW w:type="dxa" w:w="2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#1 (existing)</w:t>
            </w:r>
          </w:p>
        </w:tc>
        <w:tc>
          <w:tcPr>
            <w:tcW w:type="dxa" w:w="40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Fresh RFQ, not yet reviewed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Cat-Glycochemistry / Cat-Glycobiology / Cat-Glyco-analysis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#1 (existing)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Product category interest, one per RFQ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Under-Review</w:t>
            </w:r>
          </w:p>
        </w:tc>
        <w:tc>
          <w:tcPr>
            <w:tcW w:type="dxa" w:w="2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#2</w:t>
            </w:r>
          </w:p>
        </w:tc>
        <w:tc>
          <w:tcPr>
            <w:tcW w:type="dxa" w:w="40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Rep is actively reviewing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Quote-Sent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#3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Quote delivered by BysonHub, nudge clock started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Negotiation</w:t>
            </w:r>
          </w:p>
        </w:tc>
        <w:tc>
          <w:tcPr>
            <w:tcW w:type="dxa" w:w="2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#4</w:t>
            </w:r>
          </w:p>
        </w:tc>
        <w:tc>
          <w:tcPr>
            <w:tcW w:type="dxa" w:w="40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Customer is negotiating terms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Quotation-Accepted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#5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Customer accepted, awaiting payment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Nurture-Abandoned</w:t>
            </w:r>
          </w:p>
        </w:tc>
        <w:tc>
          <w:tcPr>
            <w:tcW w:type="dxa" w:w="2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#6</w:t>
            </w:r>
          </w:p>
        </w:tc>
        <w:tc>
          <w:tcPr>
            <w:tcW w:type="dxa" w:w="40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 reply after Quote Sent Day 3, entered long-term nurture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Customer / Closed-Won</w:t>
            </w:r>
          </w:p>
        </w:tc>
        <w:tc>
          <w:tcPr>
            <w:tcW w:type="dxa" w:w="2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Automation #7</w:t>
            </w:r>
          </w:p>
        </w:tc>
        <w:tc>
          <w:tcPr>
            <w:tcW w:type="dxa" w:w="40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Order paid, deal won</w:t>
            </w:r>
          </w:p>
        </w:tc>
      </w:tr>
    </w:tbl>
    <w:p>
      <w:pPr>
        <w:pStyle w:val="Heading2"/>
        <w:spacing w:after="150" w:before="300"/>
      </w:pPr>
      <w:r>
        <w:t xml:space="preserve">0.5 Reference — custom fields (all model: Contact, verified live)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800"/>
      </w:tblGrid>
      <w:tr>
        <w:trPr>
          <w:tblHeader/>
        </w:trPr>
        <w:tc>
          <w:tcPr>
            <w:tcW w:type="dxa" w:w="34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Field name</w:t>
            </w:r>
          </w:p>
        </w:tc>
        <w:tc>
          <w:tcPr>
            <w:tcW w:type="dxa" w:w="26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3800"/>
            <w:shd w:fill="1D4ED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Field key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Product category interest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Multiple Options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contact.product_category_interest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Product details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Large Text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contact.product_details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BH Quotation ID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contact.bh_quotation_id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Lead source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Single Option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contact.lead_source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Google Ads campaign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contact.google_ads_campaign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Google Ads ad group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contact.google_ads_ad_group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Landing page URL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contact.landing_page_url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Quote number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Text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contact.quote_number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Quoted value (USD)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Monetary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contact.quoted_value_usd</w:t>
            </w:r>
          </w:p>
        </w:tc>
      </w:tr>
      <w:tr>
        <w:tc>
          <w:tcPr>
            <w:tcW w:type="dxa" w:w="34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Follow-up count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Numerical</w:t>
            </w:r>
          </w:p>
        </w:tc>
        <w:tc>
          <w:tcPr>
            <w:tcW w:type="dxa" w:w="38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contact.followup_count</w:t>
            </w:r>
          </w:p>
        </w:tc>
      </w:tr>
      <w:tr>
        <w:tc>
          <w:tcPr>
            <w:tcW w:type="dxa" w:w="34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Assigned sales rep</w:t>
            </w:r>
          </w:p>
        </w:tc>
        <w:tc>
          <w:tcPr>
            <w:tcW w:type="dxa" w:w="26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Single Option (“glycodepot” only for now)</w:t>
            </w:r>
          </w:p>
        </w:tc>
        <w:tc>
          <w:tcPr>
            <w:tcW w:type="dxa" w:w="3800"/>
            <w:shd w:fill="F8FA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contact.assigned_sales_rep</w:t>
            </w:r>
          </w:p>
        </w:tc>
      </w:tr>
    </w:tbl>
    <w:p>
      <w:pPr>
        <w:pStyle w:val="Heading2"/>
        <w:spacing w:after="150" w:before="300"/>
      </w:pPr>
      <w:r>
        <w:t xml:space="preserve">0.6 GHL location — where to build</w:t>
      </w:r>
    </w:p>
    <w:p>
      <w:pPr>
        <w:spacing w:after="120"/>
      </w:pPr>
      <w:r>
        <w:t xml:space="preserve">Automation → Workflows → + Create Workflow → Start from Scratch. Name each workflow exactly as given below. Keep each in Draft while building; Publish only after testing per §6.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Automation #2 — Under Review. Under Review — Tag &amp; Escalation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2: marks the opportunity as actively being worked, escalates internally if the rep sits on it too long. No customer-facing email at this stage (per SOW).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Pipeline Stage 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Pipeline: RFQ Pipeline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Stage: Under Review (entered)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Add Tag</w:t>
      </w:r>
      <w:r>
        <w:t xml:space="preserve">: Under-Review.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Remove Tag</w:t>
      </w:r>
      <w:r>
        <w:t xml:space="preserve">: RFQ-New.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Wait</w:t>
      </w:r>
      <w:r>
        <w:t xml:space="preserve">: 1 day.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If/Else — Opportunity Stage = Under Review</w:t>
      </w:r>
      <w:r>
        <w:t xml:space="preserve">: true → continue (Day 1 in stage). False → End Workflow.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Send Internal Notification</w:t>
      </w:r>
      <w:r>
        <w:t xml:space="preserve">: to the assigned rep: “RFQ from [Contact Name] still Under Review.”</w:t>
      </w:r>
    </w:p>
    <w:p>
      <w:pPr>
        <w:spacing w:after="100"/>
      </w:pPr>
      <w:r>
        <w:rPr>
          <w:b/>
          <w:bCs/>
        </w:rPr>
        <w:t xml:space="preserve">Step 6 — </w:t>
      </w:r>
      <w:r>
        <w:rPr>
          <w:b/>
          <w:bCs/>
        </w:rPr>
        <w:t xml:space="preserve">Wait</w:t>
      </w:r>
      <w:r>
        <w:t xml:space="preserve">: 1 more day (Day 2 total).</w:t>
      </w:r>
    </w:p>
    <w:p>
      <w:pPr>
        <w:spacing w:after="100"/>
      </w:pPr>
      <w:r>
        <w:rPr>
          <w:b/>
          <w:bCs/>
        </w:rPr>
        <w:t xml:space="preserve">Step 7 — </w:t>
      </w:r>
      <w:r>
        <w:rPr>
          <w:b/>
          <w:bCs/>
        </w:rPr>
        <w:t xml:space="preserve">If/Else — Opportunity Stage = Under Review</w:t>
      </w:r>
      <w:r>
        <w:t xml:space="preserve">: true → continue. False → End Workflow.</w:t>
      </w:r>
    </w:p>
    <w:p>
      <w:pPr>
        <w:spacing w:after="100"/>
      </w:pPr>
      <w:r>
        <w:rPr>
          <w:b/>
          <w:bCs/>
        </w:rPr>
        <w:t xml:space="preserve">Step 8 — </w:t>
      </w:r>
      <w:r>
        <w:rPr>
          <w:b/>
          <w:bCs/>
        </w:rPr>
        <w:t xml:space="preserve">Send Internal Notification</w:t>
      </w:r>
      <w:r>
        <w:t xml:space="preserve">: escalation to rep + sales manager.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Drag a test opportunity into Under Review; confirm no customer email fires at any point, only internal notifications.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2. Automation #3 — Quote Sent. Quote Sent — Field Sync + Day 2/3 Customer Nudges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3. ONE workflow: sets fields on entry, then nudges the customer on Day 2 and Day 3 with sequential Wait steps — not three separate workflows.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Pipeline Stage 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Pipeline: RFQ Pipeline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Stage: Quote Sent (entered)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Update Contact Field</w:t>
      </w:r>
      <w:r>
        <w:t xml:space="preserve">: “Quote sent date” (or use the workflow's own timestamp if no such field exists — confirm the field name with Kumar if unsure) ← today.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Update Contact Field</w:t>
      </w:r>
      <w:r>
        <w:t xml:space="preserve">: Quote number ← value from the BysonHub status webhook payload.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Update Contact Field</w:t>
      </w:r>
      <w:r>
        <w:t xml:space="preserve">: Quoted value (USD) ← same payload.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Remove Tag</w:t>
      </w:r>
      <w:r>
        <w:t xml:space="preserve">: Under-Review.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Add Tag</w:t>
      </w:r>
      <w:r>
        <w:t xml:space="preserve">: Quote-Sent.</w:t>
      </w:r>
    </w:p>
    <w:p>
      <w:pPr>
        <w:spacing w:after="100"/>
      </w:pPr>
      <w:r>
        <w:rPr>
          <w:b/>
          <w:bCs/>
        </w:rPr>
        <w:t xml:space="preserve">Step 6 — </w:t>
      </w:r>
      <w:r>
        <w:rPr>
          <w:b/>
          <w:bCs/>
        </w:rPr>
        <w:t xml:space="preserve">Wait</w:t>
      </w:r>
      <w:r>
        <w:t xml:space="preserve">: 2 days.</w:t>
      </w:r>
    </w:p>
    <w:p>
      <w:pPr>
        <w:spacing w:after="100"/>
      </w:pPr>
      <w:r>
        <w:rPr>
          <w:b/>
          <w:bCs/>
        </w:rPr>
        <w:t xml:space="preserve">Step 7 — </w:t>
      </w:r>
      <w:r>
        <w:rPr>
          <w:b/>
          <w:bCs/>
        </w:rPr>
        <w:t xml:space="preserve">If/Else — Contact has tag Quote-Sent</w:t>
      </w:r>
      <w:r>
        <w:t xml:space="preserve">: true (no reply yet, still in this stage) → continue. False → skip to Step 11 (End).</w:t>
      </w:r>
    </w:p>
    <w:p>
      <w:pPr>
        <w:spacing w:after="100"/>
      </w:pPr>
      <w:r>
        <w:rPr>
          <w:b/>
          <w:bCs/>
        </w:rPr>
        <w:t xml:space="preserve">Step 8 — </w:t>
      </w:r>
      <w:r>
        <w:rPr>
          <w:b/>
          <w:bCs/>
        </w:rPr>
        <w:t xml:space="preserve">Send Email</w:t>
      </w:r>
      <w:r>
        <w:t xml:space="preserve">: to contact — Day 2 nudge, see content note.</w:t>
      </w:r>
    </w:p>
    <w:p>
      <w:pPr>
        <w:spacing w:after="100"/>
      </w:pPr>
      <w:r>
        <w:rPr>
          <w:b/>
          <w:bCs/>
        </w:rPr>
        <w:t xml:space="preserve">Step 9 — </w:t>
      </w:r>
      <w:r>
        <w:rPr>
          <w:b/>
          <w:bCs/>
        </w:rPr>
        <w:t xml:space="preserve">Update Contact Field</w:t>
      </w:r>
      <w:r>
        <w:t xml:space="preserve">: Follow-up count ← increment by 1.</w:t>
      </w:r>
    </w:p>
    <w:p>
      <w:pPr>
        <w:spacing w:after="100"/>
      </w:pPr>
      <w:r>
        <w:rPr>
          <w:b/>
          <w:bCs/>
        </w:rPr>
        <w:t xml:space="preserve">Step 10 — </w:t>
      </w:r>
      <w:r>
        <w:rPr>
          <w:b/>
          <w:bCs/>
        </w:rPr>
        <w:t xml:space="preserve">Wait</w:t>
      </w:r>
      <w:r>
        <w:t xml:space="preserve">: 1 more day (Day 3 total since Quote Sent).</w:t>
      </w:r>
    </w:p>
    <w:p>
      <w:pPr>
        <w:spacing w:after="100"/>
      </w:pPr>
      <w:r>
        <w:rPr>
          <w:b/>
          <w:bCs/>
        </w:rPr>
        <w:t xml:space="preserve">Step 11 — </w:t>
      </w:r>
      <w:r>
        <w:rPr>
          <w:b/>
          <w:bCs/>
        </w:rPr>
        <w:t xml:space="preserve">If/Else — Contact has tag Quote-Sent</w:t>
      </w:r>
      <w:r>
        <w:t xml:space="preserve">: true → continue. False → End Workflow.</w:t>
      </w:r>
    </w:p>
    <w:p>
      <w:pPr>
        <w:spacing w:after="100"/>
      </w:pPr>
      <w:r>
        <w:rPr>
          <w:b/>
          <w:bCs/>
        </w:rPr>
        <w:t xml:space="preserve">Step 12 — </w:t>
      </w:r>
      <w:r>
        <w:rPr>
          <w:b/>
          <w:bCs/>
        </w:rPr>
        <w:t xml:space="preserve">Send Email</w:t>
      </w:r>
      <w:r>
        <w:t xml:space="preserve">: to contact — Day 3 second nudge + datasheet link, see content note.</w:t>
      </w:r>
    </w:p>
    <w:p>
      <w:pPr>
        <w:spacing w:after="100"/>
      </w:pPr>
      <w:r>
        <w:rPr>
          <w:b/>
          <w:bCs/>
        </w:rPr>
        <w:t xml:space="preserve">Step 13 — </w:t>
      </w:r>
      <w:r>
        <w:rPr>
          <w:b/>
          <w:bCs/>
        </w:rPr>
        <w:t xml:space="preserve">Update Contact Field</w:t>
      </w:r>
      <w:r>
        <w:t xml:space="preserve">: Follow-up count ← increment by 1.</w:t>
      </w:r>
    </w:p>
    <w:p>
      <w:pPr>
        <w:spacing w:after="100"/>
      </w:pPr>
      <w:r>
        <w:rPr>
          <w:b/>
          <w:bCs/>
        </w:rPr>
        <w:t xml:space="preserve">Step 14 — </w:t>
      </w:r>
      <w:r>
        <w:rPr>
          <w:b/>
          <w:bCs/>
        </w:rPr>
        <w:t xml:space="preserve">Create Task</w:t>
      </w:r>
      <w:r>
        <w:t xml:space="preserve">: “Follow up with [Contact Name] on outstanding RFQ”, assigned to rep — SOW: fires “in parallel, if not progressed past Day 3.”</w:t>
      </w:r>
    </w:p>
    <w:p>
      <w:pPr>
        <w:pBdr>
          <w:left w:val="single" w:color="1D4ED8" w:sz="24" w:space="8"/>
        </w:pBdr>
        <w:spacing w:after="150" w:before="100"/>
        <w:ind w:left="200"/>
      </w:pPr>
      <w:r>
        <w:rPr>
          <w:b/>
          <w:bCs/>
          <w:color w:val="1D4ED8"/>
        </w:rPr>
        <w:t xml:space="preserve">Customer email content: </w:t>
      </w:r>
      <w:r>
        <w:t xml:space="preserve">Confirm the Day 2 and Day 3 branches both correctly exit (no email) once the tag is removed — that's what Negotiation/Quotation Accepted rely on to stop these nudges (see Automations #4/#5).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Did our quote cover your requirements? (Day 2) / second nudge with a relevant datasheet or application-note link (Day 3). Never restate pricing or resend the quotation — BysonHub already sent it.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3. Automation #4 — Negotiation. Negotiation — Pause Nudges &amp; Rep Reminder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4. Removing the Quote-Sent tag here is what stops Automation #3's in-flight nudge waits — the single most important cross-workflow dependency in this build.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Pipeline Stage 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Pipeline: RFQ Pipeline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Stage: Negotiation (entered)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Remove Tag</w:t>
      </w:r>
      <w:r>
        <w:t xml:space="preserve">: Quote-Sent — this pauses Automation #3's nudge sequence for any in-flight wait.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Add Tag</w:t>
      </w:r>
      <w:r>
        <w:t xml:space="preserve">: Negotiation.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Create Task</w:t>
      </w:r>
      <w:r>
        <w:t xml:space="preserve">: “Active negotiation — [Contact Name]”, assigned to rep.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Wait</w:t>
      </w:r>
      <w:r>
        <w:t xml:space="preserve">: 5 business days (use GHL's business-day Wait option, not calendar days).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If/Else — Opportunity Stage = Negotiation</w:t>
      </w:r>
      <w:r>
        <w:t xml:space="preserve">: true → Send Internal Notification to rep to check in. False → End Workflow.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Confirm removing the Quote-Sent tag here actually halts a test contact's in-flight Automation #3 wait — test this dependency explicitly, it's easy to get wrong.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4. Automation #5 — Quotation Accepted. Quotation Accepted — Stop Nudges &amp; Payment Monitor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5. Customer has accepted; stop all further nudges and wait for BysonHub to confirm payment. No payment link sent from GHL.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Pipeline Stage 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Pipeline: RFQ Pipeline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Stage: Quotation Accepted (entered)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Remove Tag</w:t>
      </w:r>
      <w:r>
        <w:t xml:space="preserve">: Negotiation, Quote-Sent (remove both — covers entry from either prior stage).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Add Tag</w:t>
      </w:r>
      <w:r>
        <w:t xml:space="preserve">: Quotation-Accepted.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Send Internal Notification</w:t>
      </w:r>
      <w:r>
        <w:t xml:space="preserve">: to rep: “Quotation accepted — awaiting payment.”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Create Task</w:t>
      </w:r>
      <w:r>
        <w:t xml:space="preserve">: “Monitor payment status — [Contact Name]”, assigned to rep.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No customer email here — BysonHub sends the Stripe payment link / bank details, per SOW §3.4.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5. Automation #6 — Abandoned. Abandoned — Inactivity Auto-Detect, Nurture &amp; Customer Match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6: the only fully automatic stage move in this pipeline — GHL detects it, no human drags the card. Fires off the same signal Automation #3 watches (3 days since Quote Sent, no reply) — see the optional merge note in §0.3 if you'd rather combine this into Automation #3's workflow instead of building it separately.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Tag Added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Tag: Quote-Sent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(Runs in parallel with Automation #3, off the same tag — expected.)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Wait</w:t>
      </w:r>
      <w:r>
        <w:t xml:space="preserve">: 3 days.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If/Else — Contact has tag Quote-Sent AND does NOT have tag Negotiation or Quotation-Accepted</w:t>
      </w:r>
      <w:r>
        <w:t xml:space="preserve">: true → continue (genuinely no reply/movement). False → End Workflow.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Update Opportunity</w:t>
      </w:r>
      <w:r>
        <w:t xml:space="preserve">: Stage ← Abandoned.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Add Tag</w:t>
      </w:r>
      <w:r>
        <w:t xml:space="preserve">: Nurture-Abandoned.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Remove Tag</w:t>
      </w:r>
      <w:r>
        <w:t xml:space="preserve">: Quote-Sent.</w:t>
      </w:r>
    </w:p>
    <w:p>
      <w:pPr>
        <w:spacing w:after="100"/>
      </w:pPr>
      <w:r>
        <w:rPr>
          <w:b/>
          <w:bCs/>
        </w:rPr>
        <w:t xml:space="preserve">Step 6 — </w:t>
      </w:r>
      <w:r>
        <w:rPr>
          <w:b/>
          <w:bCs/>
        </w:rPr>
        <w:t xml:space="preserve">Add to Workflow / Campaign</w:t>
      </w:r>
      <w:r>
        <w:t xml:space="preserve">: enrol the contact in a monthly long-term nurture sequence (educational/product content) — build a simple separate nurture campaign if one doesn't exist.</w:t>
      </w:r>
    </w:p>
    <w:p>
      <w:pPr>
        <w:spacing w:after="100"/>
      </w:pPr>
      <w:r>
        <w:rPr>
          <w:b/>
          <w:bCs/>
        </w:rPr>
        <w:t xml:space="preserve">Step 7 — </w:t>
      </w:r>
      <w:r>
        <w:rPr>
          <w:b/>
          <w:bCs/>
        </w:rPr>
        <w:t xml:space="preserve">Google Ads Customer Match</w:t>
      </w:r>
      <w:r>
        <w:t xml:space="preserve">: push the contact's email to audience “GHL-Abandoned-RFQ” (native GHL Google Ads integration, or n8n webhook to the Customer Match API) — SOW §4.2. This is Milestone 1B scope; skip this step for now if 1B is still on hold, and add it when 1B is scoped.</w:t>
      </w:r>
    </w:p>
    <w:p>
      <w:pPr>
        <w:spacing w:after="100"/>
      </w:pPr>
      <w:r>
        <w:rPr>
          <w:b/>
          <w:bCs/>
        </w:rPr>
        <w:t xml:space="preserve">Step 8 — </w:t>
      </w:r>
      <w:r>
        <w:rPr>
          <w:b/>
          <w:bCs/>
        </w:rPr>
        <w:t xml:space="preserve">Create Task</w:t>
      </w:r>
      <w:r>
        <w:t xml:space="preserve">: “90-day re-engagement check”, assigned to rep, due in 90 days.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6. Automation #7 — Paid &amp; Won. Paid &amp; Won — Stop Sequences, Tag &amp; Post-Purchase Nurture</w:t>
      </w:r>
    </w:p>
    <w:p>
      <w:pPr>
        <w:spacing w:after="120"/>
      </w:pPr>
      <w:r>
        <w:rPr>
          <w:b/>
          <w:bCs/>
        </w:rPr>
        <w:t xml:space="preserve">Purpose: </w:t>
      </w:r>
      <w:r>
        <w:t xml:space="preserve">SOW §3.4 trigger block 7. ONE workflow: cleanup + tagging on entry, then Day 3/14/30 nurture as sequential Wait steps — not separate workflows. No invoice automation from GHL (BysonHub owns it).</w:t>
      </w:r>
    </w:p>
    <w:p>
      <w:pPr>
        <w:pStyle w:val="Heading3"/>
        <w:spacing w:after="100" w:before="200"/>
      </w:pPr>
      <w:r>
        <w:t xml:space="preserve">Trigger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 type: Pipeline Stage Changed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Pipeline: RFQ Pipeline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Stage: Paid &amp; Won (entered)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Remove Tag</w:t>
      </w:r>
      <w:r>
        <w:t xml:space="preserve">: Quote-Sent, Negotiation, Quotation-Accepted, Nurture-Abandoned — stop every active follow-up/reminder sequence.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Add Tag</w:t>
      </w:r>
      <w:r>
        <w:t xml:space="preserve">: Customer, Closed-Won.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Update Opportunity</w:t>
      </w:r>
      <w:r>
        <w:t xml:space="preserve">: Status ← Won.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Wait</w:t>
      </w:r>
      <w:r>
        <w:t xml:space="preserve">: 3 days.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Send Email</w:t>
      </w:r>
      <w:r>
        <w:t xml:space="preserve">: to contact — Day 3 check-in.</w:t>
      </w:r>
    </w:p>
    <w:p>
      <w:pPr>
        <w:spacing w:after="100"/>
      </w:pPr>
      <w:r>
        <w:rPr>
          <w:b/>
          <w:bCs/>
        </w:rPr>
        <w:t xml:space="preserve">Step 6 — </w:t>
      </w:r>
      <w:r>
        <w:rPr>
          <w:b/>
          <w:bCs/>
        </w:rPr>
        <w:t xml:space="preserve">Wait</w:t>
      </w:r>
      <w:r>
        <w:t xml:space="preserve">: 11 more days (Day 14 total).</w:t>
      </w:r>
    </w:p>
    <w:p>
      <w:pPr>
        <w:spacing w:after="100"/>
      </w:pPr>
      <w:r>
        <w:rPr>
          <w:b/>
          <w:bCs/>
        </w:rPr>
        <w:t xml:space="preserve">Step 7 — </w:t>
      </w:r>
      <w:r>
        <w:rPr>
          <w:b/>
          <w:bCs/>
        </w:rPr>
        <w:t xml:space="preserve">Send Email</w:t>
      </w:r>
      <w:r>
        <w:t xml:space="preserve">: to contact — Day 14 review request.</w:t>
      </w:r>
    </w:p>
    <w:p>
      <w:pPr>
        <w:spacing w:after="100"/>
      </w:pPr>
      <w:r>
        <w:rPr>
          <w:b/>
          <w:bCs/>
        </w:rPr>
        <w:t xml:space="preserve">Step 8 — </w:t>
      </w:r>
      <w:r>
        <w:rPr>
          <w:b/>
          <w:bCs/>
        </w:rPr>
        <w:t xml:space="preserve">Wait</w:t>
      </w:r>
      <w:r>
        <w:t xml:space="preserve">: 16 more days (Day 30 total).</w:t>
      </w:r>
    </w:p>
    <w:p>
      <w:pPr>
        <w:spacing w:after="100"/>
      </w:pPr>
      <w:r>
        <w:rPr>
          <w:b/>
          <w:bCs/>
        </w:rPr>
        <w:t xml:space="preserve">Step 9 — </w:t>
      </w:r>
      <w:r>
        <w:rPr>
          <w:b/>
          <w:bCs/>
        </w:rPr>
        <w:t xml:space="preserve">Send Email</w:t>
      </w:r>
      <w:r>
        <w:t xml:space="preserve">: to contact — Day 30 upsell recommendation.</w:t>
      </w:r>
    </w:p>
    <w:p>
      <w:pPr>
        <w:spacing w:after="100"/>
      </w:pPr>
      <w:r>
        <w:rPr>
          <w:b/>
          <w:bCs/>
        </w:rPr>
        <w:t xml:space="preserve">Step 10 — </w:t>
      </w:r>
      <w:r>
        <w:rPr>
          <w:b/>
          <w:bCs/>
        </w:rPr>
        <w:t xml:space="preserve">Offline conversion import (Milestone 1B)</w:t>
      </w:r>
      <w:r>
        <w:t xml:space="preserve">: send closed order value to Google Ads via GHL webhook → n8n → Conversions API, conversion action “GHL_Closed_Won” — SOW §4.3. Skip for now if 1B is on hold; add when scoped.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No invoice, no payment confirmation email from GHL — BysonHub already handled that. Test that entering this stage from any prior stage (Quote Sent, Negotiation, or Quotation Accepted — e.g. a Flow B direct order that skips RFQ stages entirely) still clears all tags correctly.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7. Deliverable #5 — Backup Form (separate from the 6 automations)</w:t>
      </w:r>
    </w:p>
    <w:p>
      <w:pPr>
        <w:spacing w:after="120"/>
      </w:pPr>
      <w:r>
        <w:t xml:space="preserve">SOW §3.3.1: a native GHL form for the team to log a lead taken over phone/email. Not embedded on the website — internal use only, and not one of the 7 numbered automations — it's its own deliverable in the §6 checklist (#5).</w:t>
      </w:r>
    </w:p>
    <w:p>
      <w:pPr>
        <w:pStyle w:val="Heading3"/>
        <w:spacing w:after="100" w:before="200"/>
      </w:pPr>
      <w:r>
        <w:t xml:space="preserve">Build steps</w:t>
      </w:r>
    </w:p>
    <w:p>
      <w:pPr>
        <w:spacing w:after="100"/>
      </w:pPr>
      <w:r>
        <w:rPr>
          <w:b/>
          <w:bCs/>
        </w:rPr>
        <w:t xml:space="preserve">Step 1 — </w:t>
      </w:r>
      <w:r>
        <w:rPr>
          <w:b/>
          <w:bCs/>
        </w:rPr>
        <w:t xml:space="preserve">Build the form</w:t>
      </w:r>
      <w:r>
        <w:t xml:space="preserve">: Sites → Forms → + New Form. Fields: contact + Product category interest (reuse the existing Multiple Options custom field — do not create a new one).</w:t>
      </w:r>
    </w:p>
    <w:p>
      <w:pPr>
        <w:spacing w:after="100"/>
      </w:pPr>
      <w:r>
        <w:rPr>
          <w:b/>
          <w:bCs/>
        </w:rPr>
        <w:t xml:space="preserve">Step 2 — </w:t>
      </w:r>
      <w:r>
        <w:rPr>
          <w:b/>
          <w:bCs/>
        </w:rPr>
        <w:t xml:space="preserve">Create a workflow</w:t>
      </w:r>
      <w:r>
        <w:t xml:space="preserve">: trigger: Form Submitted → this form.</w:t>
      </w:r>
    </w:p>
    <w:p>
      <w:pPr>
        <w:spacing w:after="100"/>
      </w:pPr>
      <w:r>
        <w:rPr>
          <w:b/>
          <w:bCs/>
        </w:rPr>
        <w:t xml:space="preserve">Step 3 — </w:t>
      </w:r>
      <w:r>
        <w:rPr>
          <w:b/>
          <w:bCs/>
        </w:rPr>
        <w:t xml:space="preserve">Create/Update Contact + Create Opportunity</w:t>
      </w:r>
      <w:r>
        <w:t xml:space="preserve">: in RFQ Pipeline, stage New RFQ — mirrors Automation #1's behavior for consistency in reporting.</w:t>
      </w:r>
    </w:p>
    <w:p>
      <w:pPr>
        <w:spacing w:after="100"/>
      </w:pPr>
      <w:r>
        <w:rPr>
          <w:b/>
          <w:bCs/>
        </w:rPr>
        <w:t xml:space="preserve">Step 4 — </w:t>
      </w:r>
      <w:r>
        <w:rPr>
          <w:b/>
          <w:bCs/>
        </w:rPr>
        <w:t xml:space="preserve">Add Tag</w:t>
      </w:r>
      <w:r>
        <w:t xml:space="preserve">: RFQ-New, Cat-&lt;Category&gt; based on the submitted category (If/Else per category).</w:t>
      </w:r>
    </w:p>
    <w:p>
      <w:pPr>
        <w:spacing w:after="100"/>
      </w:pPr>
      <w:r>
        <w:rPr>
          <w:b/>
          <w:bCs/>
        </w:rPr>
        <w:t xml:space="preserve">Step 5 — </w:t>
      </w:r>
      <w:r>
        <w:rPr>
          <w:b/>
          <w:bCs/>
        </w:rPr>
        <w:t xml:space="preserve">Update Contact Field</w:t>
      </w:r>
      <w:r>
        <w:t xml:space="preserve">: Lead source — no “manual/phone” option currently exists on this field; use the closest existing option (Direct) or ask Kumar to add one before publishing.</w:t>
      </w:r>
    </w:p>
    <w:p>
      <w:pPr>
        <w:spacing w:after="100"/>
      </w:pPr>
      <w:r>
        <w:rPr>
          <w:b/>
          <w:bCs/>
        </w:rPr>
        <w:t xml:space="preserve">Step 6 — </w:t>
      </w:r>
      <w:r>
        <w:rPr>
          <w:b/>
          <w:bCs/>
        </w:rPr>
        <w:t xml:space="preserve">Create Task</w:t>
      </w:r>
      <w:r>
        <w:t xml:space="preserve">: “Review manually-logged RFQ”, assigned to rep, due 4 hours.</w:t>
      </w:r>
    </w:p>
    <w:p>
      <w:pPr>
        <w:pBdr>
          <w:left w:val="single" w:color="15803D" w:sz="24" w:space="8"/>
        </w:pBdr>
        <w:spacing w:after="150" w:before="100"/>
        <w:ind w:left="200"/>
      </w:pPr>
      <w:r>
        <w:rPr>
          <w:b/>
          <w:bCs/>
          <w:color w:val="15803D"/>
        </w:rPr>
        <w:t xml:space="preserve">Test before publishing: </w:t>
      </w:r>
      <w:r>
        <w:t xml:space="preserve">Submit a real test through the form and confirm it produces an opportunity identical in shape to a normal website RFQ.</w:t>
      </w:r>
    </w:p>
    <w:p>
      <w:pPr>
        <w:pBdr>
          <w:bottom w:val="single" w:color="CBD5E1" w:sz="6" w:space="4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t xml:space="preserve">8. End-to-End Test Checklist (SOW §7: test every automation + every mapping before sign-off)</w:t>
      </w:r>
    </w:p>
    <w:p>
      <w:pPr>
        <w:spacing w:after="120"/>
      </w:pPr>
      <w:r>
        <w:t xml:space="preserve">Run after all 6 automations + the backup form are built and published, using one throwaway test contact.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Confirm Automation #1 (existing) tagged RFQ-New and created the 4-hour review task.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Drag New RFQ → Under Review. Confirm Automation #2: tag swap, Day 1 + Day 2 internal reminders (shorten Waits to test).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Drag to Quote Sent. Confirm Automation #3 sets Quote number / Quoted value, tags Quote-Sent, and both Day 2 + Day 3 nudges fire once each in order.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On a second test contact, drag to Negotiation before the nudges finish. Confirm Automation #4 removes Quote-Sent and Automation #3's in-flight wait exits without sending a nudge.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Drag that same contact to Quotation Accepted. Confirm Automation #5 fires and no further nudges arrive.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On a third test contact, leave it sitting in Quote Sent and do nothing (shortened waits). Confirm Automation #6 auto-moves it to Abandoned, tags Nurture-Abandoned, and Automation #3 does NOT also send a nudge after that point.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Drag a contact to Paid &amp; Won (including one that skips straight from New RFQ, simulating Flow B). Confirm Automation #7 clears every prior tag, adds Customer + Closed-Won, and the Day 3/14/30 nurture fires on schedule.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Submit the backup form and confirm it produces an opportunity identical in shape to a real website RFQ.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Restore every shortened Wait step back to its real duration (days/business days) before leaving workflows published.</w:t>
      </w:r>
    </w:p>
    <w:p>
      <w:pPr>
        <w:spacing w:after="120"/>
      </w:pPr>
      <w:r>
        <w:rPr>
          <w:i/>
          <w:iCs/>
          <w:color w:val="6B7280"/>
        </w:rPr>
        <w:t xml:space="preserve">Once all 9 checks pass, Milestone 1A's automation deliverables (§6, items #6–#12) are complete. Still outside this guide: the BysonHub → GHL webhook itself (blocked on Nihar), the 3 inbound webhook URLs (deliverable #3, needs creating in GHL then handing the URLs to Kumar to wire into Vercel), and Milestone 1B's Google Ads steps (parked).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2026-07-29T13:35:51.677Z</dcterms:created>
  <dcterms:modified xsi:type="dcterms:W3CDTF">2026-07-29T13:35:51.678Z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