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D4ED8"/>
          <w:sz w:val="44"/>
          <w:szCs w:val="44"/>
        </w:rPr>
        <w:t xml:space="preserve">GlycoDepot × GoHighLevel</w:t>
      </w:r>
    </w:p>
    <w:p>
      <w:pPr>
        <w:spacing w:before="200"/>
        <w:jc w:val="center"/>
      </w:pPr>
      <w:r>
        <w:rPr>
          <w:b/>
          <w:bCs/>
          <w:sz w:val="32"/>
          <w:szCs w:val="32"/>
        </w:rPr>
        <w:t xml:space="preserve">Milestone 1A — Automation Build Guide (v3)</w:t>
      </w:r>
    </w:p>
    <w:p>
      <w:pPr>
        <w:spacing w:before="100"/>
        <w:jc w:val="center"/>
      </w:pPr>
      <w:r>
        <w:rPr>
          <w:color w:val="6B7280"/>
          <w:sz w:val="22"/>
          <w:szCs w:val="22"/>
        </w:rPr>
        <w:t xml:space="preserve">One consolidated status-sync workflow, branched by BysonHub's webhook status field</w:t>
      </w:r>
    </w:p>
    <w:p>
      <w:pPr>
        <w:spacing w:before="600"/>
        <w:jc w:val="center"/>
      </w:pPr>
      <w:r>
        <w:rPr>
          <w:color w:val="6B7280"/>
          <w:sz w:val="20"/>
          <w:szCs w:val="20"/>
        </w:rPr>
        <w:t xml:space="preserve">Location: GlycoDepot  ·  Location ID: 8WV7PDrONMk3WR8fwyNo</w:t>
      </w:r>
    </w:p>
    <w:p>
      <w:pPr>
        <w:spacing w:before="100"/>
        <w:jc w:val="center"/>
      </w:pPr>
      <w:r>
        <w:rPr>
          <w:color w:val="6B7280"/>
          <w:sz w:val="20"/>
          <w:szCs w:val="20"/>
        </w:rPr>
        <w:t xml:space="preserve">Pipeline: RFQ Pipeline — 7 stages, all named exactly per SOW §3.1 (verified live)</w:t>
      </w:r>
    </w:p>
    <w:p>
      <w:r>
        <w:br w:type="page"/>
      </w:r>
    </w:p>
    <w:p>
      <w:pPr>
        <w:pStyle w:val="Heading1"/>
        <w:spacing w:after="200" w:before="400"/>
      </w:pPr>
      <w:r>
        <w:t xml:space="preserve">0. What changed and why (read first)</w:t>
      </w:r>
    </w:p>
    <w:p>
      <w:pPr>
        <w:pBdr>
          <w:left w:val="single" w:color="B91C1C" w:sz="24" w:space="8"/>
        </w:pBdr>
        <w:spacing w:after="150" w:before="100"/>
        <w:ind w:left="200"/>
      </w:pPr>
      <w:r>
        <w:rPr>
          <w:b/>
          <w:bCs/>
          <w:color w:val="B91C1C"/>
        </w:rPr>
        <w:t xml:space="preserve">v2 → v3: </w:t>
      </w:r>
      <w:r>
        <w:t xml:space="preserve">v2 of this guide built 6 separate workflows, each triggered by GHL's own “Pipeline Stage Changed” event — assuming something else moves the opportunity to a new stage first, and the workflow just reacts. That had the causality backwards. SOW §3.3 is explicit: “Byson Hub fires a webhook to GHL... on every subsequent status-change webhook: move the opportunity to the mapped GHL stage.” The webhook is supposed to DRIVE the stage move, not react to one that already happened. Sooraj's suggestion — one workflow, one inbound webhook trigger, branching by the incoming status — matches the SOW's actual architecture and is what this version builds.</w:t>
      </w:r>
    </w:p>
    <w:p>
      <w:pPr>
        <w:spacing w:after="120"/>
      </w:pPr>
      <w:r>
        <w:t xml:space="preserve">Net result: instead of 6 workflows, there is exactly ONE new workflow to build (plus the backup form, which was never part of the automation count). Automation #1 (“New RFQ”) stays exactly as it is — a separate workflow, unaffected by this change.</w:t>
      </w:r>
    </w:p>
    <w:p>
      <w:pPr>
        <w:pStyle w:val="Heading2"/>
        <w:spacing w:after="150" w:before="300"/>
      </w:pPr>
      <w:r>
        <w:t xml:space="preserve">0.1 Why this is genuinely better, not just fewer workflows</w:t>
      </w:r>
    </w:p>
    <w:p>
      <w:pPr>
        <w:pStyle w:val="ListParagraph"/>
        <w:numPr>
          <w:ilvl w:val="0"/>
          <w:numId w:val="2"/>
        </w:numPr>
        <w:spacing w:after="60"/>
      </w:pPr>
      <w:r>
        <w:t xml:space="preserve">Matches the SOW's literal architecture — the webhook IS the trigger for every stage move, not a side effect of one.</w:t>
      </w:r>
    </w:p>
    <w:p>
      <w:pPr>
        <w:pStyle w:val="ListParagraph"/>
        <w:numPr>
          <w:ilvl w:val="0"/>
          <w:numId w:val="2"/>
        </w:numPr>
        <w:spacing w:after="60"/>
      </w:pPr>
      <w:r>
        <w:t xml:space="preserve">Removes a real bug risk from v2: v2's “Pipeline Stage Changed” trigger would have fired on ANY stage change, including a rep manually dragging a card in the GHL UI — running the full automation (tags, customer emails) even when BysonHub never sent that status. The webhook-only trigger only runs when BysonHub is actually the source of truth.</w:t>
      </w:r>
    </w:p>
    <w:p>
      <w:pPr>
        <w:pStyle w:val="ListParagraph"/>
        <w:numPr>
          <w:ilvl w:val="0"/>
          <w:numId w:val="2"/>
        </w:numPr>
        <w:spacing w:after="60"/>
      </w:pPr>
      <w:r>
        <w:t xml:space="preserve">One canvas to test end-to-end per webhook delivery, instead of coordinating tag hand-offs correctly across 5 separate workflows (v2's biggest risk was Negotiation's workflow correctly halting Quote Sent's in-flight nudge — that dependency disappears when it's all one canvas).</w:t>
      </w:r>
    </w:p>
    <w:p>
      <w:pPr>
        <w:pStyle w:val="Heading2"/>
        <w:spacing w:after="150" w:before="300"/>
      </w:pPr>
      <w:r>
        <w:t xml:space="preserve">0.2 One nuance to flag back to Sooraj/Nihar</w:t>
      </w:r>
    </w:p>
    <w:p>
      <w:pPr>
        <w:pBdr>
          <w:left w:val="single" w:color="B45309" w:sz="24" w:space="8"/>
        </w:pBdr>
        <w:spacing w:after="150" w:before="100"/>
        <w:ind w:left="200"/>
      </w:pPr>
      <w:r>
        <w:rPr>
          <w:b/>
          <w:bCs/>
          <w:color w:val="B45309"/>
        </w:rPr>
        <w:t xml:space="preserve">Direct Order Cart (Flow B): </w:t>
      </w:r>
      <w:r>
        <w:t xml:space="preserve">SOW §3.0 Flow B / §3.3: a direct (non-RFQ) order never goes through New RFQ, Under Review, etc. — it should land straight at “Paid &amp; Won” the first time BysonHub marks it Paid. That means the “Completed / Order Paid” branch below can be the FIRST webhook event GHL ever receives for that contact — no opportunity exists yet. That branch must create the contact + opportunity if missing, not assume Automation #1 already ran. Flagged explicitly in that branch's build steps below.</w:t>
      </w:r>
    </w:p>
    <w:p>
      <w:pPr>
        <w:pStyle w:val="Heading2"/>
        <w:spacing w:after="150" w:before="300"/>
      </w:pPr>
      <w:r>
        <w:t xml:space="preserve">0.3 What's already built (do not rebuild)</w:t>
      </w:r>
    </w:p>
    <w:p>
      <w:pPr>
        <w:pStyle w:val="ListParagraph"/>
        <w:numPr>
          <w:ilvl w:val="0"/>
          <w:numId w:val="2"/>
        </w:numPr>
        <w:spacing w:after="60"/>
      </w:pPr>
      <w:r>
        <w:t xml:space="preserve">Pipeline “RFQ Pipeline” — 7 stages, exact SOW §3.1 naming (verified live, including the “Negotiation / PO” → “Negotiation” fix already applied).</w:t>
      </w:r>
    </w:p>
    <w:p>
      <w:pPr>
        <w:pStyle w:val="ListParagraph"/>
        <w:numPr>
          <w:ilvl w:val="0"/>
          <w:numId w:val="2"/>
        </w:numPr>
        <w:spacing w:after="60"/>
      </w:pPr>
      <w:r>
        <w:t xml:space="preserve">11 contact-level custom fields per SOW §3.2 (verified live).</w:t>
      </w:r>
    </w:p>
    <w:p>
      <w:pPr>
        <w:pStyle w:val="ListParagraph"/>
        <w:numPr>
          <w:ilvl w:val="0"/>
          <w:numId w:val="2"/>
        </w:numPr>
        <w:spacing w:after="60"/>
      </w:pPr>
      <w:r>
        <w:t xml:space="preserve">Workflow “GlycoDepot - RFQ Intake and Follow-Up” (published) — Automation #1, unaffected by this redesign. Open it and confirm it creates/updates the contact + opportunity at New RFQ, maps all §3.2 fields, tags RFQ-New + Cat-&lt;Category&gt;, creates the 4-hour rep task, and sends no duplicate customer email.</w:t>
      </w:r>
    </w:p>
    <w:p>
      <w:pPr>
        <w:pStyle w:val="Heading2"/>
        <w:spacing w:after="150" w:before="300"/>
      </w:pPr>
      <w:r>
        <w:t xml:space="preserve">0.4 Non-negotiable rule (SOW §7, ownership boundary)</w:t>
      </w:r>
    </w:p>
    <w:p>
      <w:pPr>
        <w:pBdr>
          <w:left w:val="single" w:color="B91C1C" w:sz="24" w:space="8"/>
        </w:pBdr>
        <w:spacing w:after="150" w:before="100"/>
        <w:ind w:left="200"/>
      </w:pPr>
      <w:r>
        <w:rPr>
          <w:b/>
          <w:bCs/>
          <w:color w:val="B91C1C"/>
        </w:rPr>
        <w:t xml:space="preserve">Ownership boundary: </w:t>
      </w:r>
      <w:r>
        <w:t xml:space="preserve">No branch below may send a quotation, payment link, or invoice to the customer. BysonHub owns all of that. Every customer-facing email here is a nudge/reminder/nurture message only.</w:t>
      </w:r>
    </w:p>
    <w:p>
      <w:pPr>
        <w:pStyle w:val="Heading2"/>
        <w:spacing w:after="150" w:before="300"/>
      </w:pPr>
      <w:r>
        <w:t xml:space="preserve">0.5 The webhook payload this workflow expects</w:t>
      </w:r>
    </w:p>
    <w:p>
      <w:pPr>
        <w:spacing w:after="120"/>
      </w:pPr>
      <w:r>
        <w:t xml:space="preserve">This is the contract already sent to Nihar for BysonHub's outbound status webhook: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1D4ED8" w:val="clear"/>
            <w:tcMar>
              <w:top w:type="dxa" w:w="80"/>
              <w:left w:type="dxa" w:w="100"/>
              <w:bottom w:type="dxa" w:w="80"/>
              <w:right w:type="dxa" w:w="100"/>
            </w:tcMar>
          </w:tcPr>
          <w:p>
            <w:r>
              <w:rPr>
                <w:b/>
                <w:bCs/>
                <w:color w:val="FFFFFF"/>
              </w:rPr>
              <w:t xml:space="preserve">Field</w:t>
            </w:r>
          </w:p>
        </w:tc>
        <w:tc>
          <w:tcPr>
            <w:tcW w:type="dxa" w:w="2600"/>
            <w:shd w:fill="1D4ED8" w:val="clear"/>
            <w:tcMar>
              <w:top w:type="dxa" w:w="80"/>
              <w:left w:type="dxa" w:w="100"/>
              <w:bottom w:type="dxa" w:w="80"/>
              <w:right w:type="dxa" w:w="100"/>
            </w:tcMar>
          </w:tcPr>
          <w:p>
            <w:r>
              <w:rPr>
                <w:b/>
                <w:bCs/>
                <w:color w:val="FFFFFF"/>
              </w:rPr>
              <w:t xml:space="preserve">Present when</w:t>
            </w:r>
          </w:p>
        </w:tc>
        <w:tc>
          <w:tcPr>
            <w:tcW w:type="dxa" w:w="4200"/>
            <w:shd w:fill="1D4ED8" w:val="clear"/>
            <w:tcMar>
              <w:top w:type="dxa" w:w="80"/>
              <w:left w:type="dxa" w:w="100"/>
              <w:bottom w:type="dxa" w:w="80"/>
              <w:right w:type="dxa" w:w="100"/>
            </w:tcMar>
          </w:tcPr>
          <w:p>
            <w:r>
              <w:rPr>
                <w:b/>
                <w:bCs/>
                <w:color w:val="FFFFFF"/>
              </w:rPr>
              <w:t xml:space="preserve">Purpose</w:t>
            </w:r>
          </w:p>
        </w:tc>
      </w:tr>
      <w:tr>
        <w:tc>
          <w:tcPr>
            <w:tcW w:type="dxa" w:w="2600"/>
            <w:shd w:fill="F8FAFC" w:val="clear"/>
            <w:tcMar>
              <w:top w:type="dxa" w:w="80"/>
              <w:left w:type="dxa" w:w="100"/>
              <w:bottom w:type="dxa" w:w="80"/>
              <w:right w:type="dxa" w:w="100"/>
            </w:tcMar>
          </w:tcPr>
          <w:p>
            <w:r>
              <w:t xml:space="preserve">bh_quotation_id</w:t>
            </w:r>
          </w:p>
        </w:tc>
        <w:tc>
          <w:tcPr>
            <w:tcW w:type="dxa" w:w="2600"/>
            <w:shd w:fill="F8FAFC" w:val="clear"/>
            <w:tcMar>
              <w:top w:type="dxa" w:w="80"/>
              <w:left w:type="dxa" w:w="100"/>
              <w:bottom w:type="dxa" w:w="80"/>
              <w:right w:type="dxa" w:w="100"/>
            </w:tcMar>
          </w:tcPr>
          <w:p>
            <w:r>
              <w:t xml:space="preserve">Always</w:t>
            </w:r>
          </w:p>
        </w:tc>
        <w:tc>
          <w:tcPr>
            <w:tcW w:type="dxa" w:w="4200"/>
            <w:shd w:fill="F8FAFC" w:val="clear"/>
            <w:tcMar>
              <w:top w:type="dxa" w:w="80"/>
              <w:left w:type="dxa" w:w="100"/>
              <w:bottom w:type="dxa" w:w="80"/>
              <w:right w:type="dxa" w:w="100"/>
            </w:tcMar>
          </w:tcPr>
          <w:p>
            <w:r>
              <w:t xml:space="preserve">Cross-reference key — matches the same id from Automation #1's New RFQ webhook</w:t>
            </w:r>
          </w:p>
        </w:tc>
      </w:tr>
      <w:tr>
        <w:tc>
          <w:tcPr>
            <w:tcW w:type="dxa" w:w="2600"/>
            <w:shd w:fill="FFFFFF" w:val="clear"/>
            <w:tcMar>
              <w:top w:type="dxa" w:w="80"/>
              <w:left w:type="dxa" w:w="100"/>
              <w:bottom w:type="dxa" w:w="80"/>
              <w:right w:type="dxa" w:w="100"/>
            </w:tcMar>
          </w:tcPr>
          <w:p>
            <w:r>
              <w:t xml:space="preserve">status</w:t>
            </w:r>
          </w:p>
        </w:tc>
        <w:tc>
          <w:tcPr>
            <w:tcW w:type="dxa" w:w="2600"/>
            <w:shd w:fill="FFFFFF" w:val="clear"/>
            <w:tcMar>
              <w:top w:type="dxa" w:w="80"/>
              <w:left w:type="dxa" w:w="100"/>
              <w:bottom w:type="dxa" w:w="80"/>
              <w:right w:type="dxa" w:w="100"/>
            </w:tcMar>
          </w:tcPr>
          <w:p>
            <w:r>
              <w:t xml:space="preserve">Always</w:t>
            </w:r>
          </w:p>
        </w:tc>
        <w:tc>
          <w:tcPr>
            <w:tcW w:type="dxa" w:w="4200"/>
            <w:shd w:fill="FFFFFF" w:val="clear"/>
            <w:tcMar>
              <w:top w:type="dxa" w:w="80"/>
              <w:left w:type="dxa" w:w="100"/>
              <w:bottom w:type="dxa" w:w="80"/>
              <w:right w:type="dxa" w:w="100"/>
            </w:tcMar>
          </w:tcPr>
          <w:p>
            <w:r>
              <w:t xml:space="preserve">One of: Under Review, Quotation Sent, Negotiation, Accepted, Completed</w:t>
            </w:r>
          </w:p>
        </w:tc>
      </w:tr>
      <w:tr>
        <w:tc>
          <w:tcPr>
            <w:tcW w:type="dxa" w:w="2600"/>
            <w:shd w:fill="F8FAFC" w:val="clear"/>
            <w:tcMar>
              <w:top w:type="dxa" w:w="80"/>
              <w:left w:type="dxa" w:w="100"/>
              <w:bottom w:type="dxa" w:w="80"/>
              <w:right w:type="dxa" w:w="100"/>
            </w:tcMar>
          </w:tcPr>
          <w:p>
            <w:r>
              <w:t xml:space="preserve">quote_number</w:t>
            </w:r>
          </w:p>
        </w:tc>
        <w:tc>
          <w:tcPr>
            <w:tcW w:type="dxa" w:w="2600"/>
            <w:shd w:fill="F8FAFC" w:val="clear"/>
            <w:tcMar>
              <w:top w:type="dxa" w:w="80"/>
              <w:left w:type="dxa" w:w="100"/>
              <w:bottom w:type="dxa" w:w="80"/>
              <w:right w:type="dxa" w:w="100"/>
            </w:tcMar>
          </w:tcPr>
          <w:p>
            <w:r>
              <w:t xml:space="preserve">Only at Quotation Sent</w:t>
            </w:r>
          </w:p>
        </w:tc>
        <w:tc>
          <w:tcPr>
            <w:tcW w:type="dxa" w:w="4200"/>
            <w:shd w:fill="F8FAFC" w:val="clear"/>
            <w:tcMar>
              <w:top w:type="dxa" w:w="80"/>
              <w:left w:type="dxa" w:w="100"/>
              <w:bottom w:type="dxa" w:w="80"/>
              <w:right w:type="dxa" w:w="100"/>
            </w:tcMar>
          </w:tcPr>
          <w:p>
            <w:r>
              <w:t xml:space="preserve">Synced into the Quote number field</w:t>
            </w:r>
          </w:p>
        </w:tc>
      </w:tr>
      <w:tr>
        <w:tc>
          <w:tcPr>
            <w:tcW w:type="dxa" w:w="2600"/>
            <w:shd w:fill="FFFFFF" w:val="clear"/>
            <w:tcMar>
              <w:top w:type="dxa" w:w="80"/>
              <w:left w:type="dxa" w:w="100"/>
              <w:bottom w:type="dxa" w:w="80"/>
              <w:right w:type="dxa" w:w="100"/>
            </w:tcMar>
          </w:tcPr>
          <w:p>
            <w:r>
              <w:t xml:space="preserve">quoted_value</w:t>
            </w:r>
          </w:p>
        </w:tc>
        <w:tc>
          <w:tcPr>
            <w:tcW w:type="dxa" w:w="2600"/>
            <w:shd w:fill="FFFFFF" w:val="clear"/>
            <w:tcMar>
              <w:top w:type="dxa" w:w="80"/>
              <w:left w:type="dxa" w:w="100"/>
              <w:bottom w:type="dxa" w:w="80"/>
              <w:right w:type="dxa" w:w="100"/>
            </w:tcMar>
          </w:tcPr>
          <w:p>
            <w:r>
              <w:t xml:space="preserve">Only at Quotation Sent</w:t>
            </w:r>
          </w:p>
        </w:tc>
        <w:tc>
          <w:tcPr>
            <w:tcW w:type="dxa" w:w="4200"/>
            <w:shd w:fill="FFFFFF" w:val="clear"/>
            <w:tcMar>
              <w:top w:type="dxa" w:w="80"/>
              <w:left w:type="dxa" w:w="100"/>
              <w:bottom w:type="dxa" w:w="80"/>
              <w:right w:type="dxa" w:w="100"/>
            </w:tcMar>
          </w:tcPr>
          <w:p>
            <w:r>
              <w:t xml:space="preserve">Synced into the Quoted value (USD) field</w:t>
            </w:r>
          </w:p>
        </w:tc>
      </w:tr>
    </w:tbl>
    <w:p>
      <w:pPr>
        <w:pStyle w:val="Heading2"/>
        <w:spacing w:after="150" w:before="300"/>
      </w:pPr>
      <w:r>
        <w:t xml:space="preserve">0.6 Reference — tags used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4000"/>
      </w:tblGrid>
      <w:tr>
        <w:trPr>
          <w:tblHeader/>
        </w:trPr>
        <w:tc>
          <w:tcPr>
            <w:tcW w:type="dxa" w:w="3400"/>
            <w:shd w:fill="1D4ED8" w:val="clear"/>
            <w:tcMar>
              <w:top w:type="dxa" w:w="80"/>
              <w:left w:type="dxa" w:w="100"/>
              <w:bottom w:type="dxa" w:w="80"/>
              <w:right w:type="dxa" w:w="100"/>
            </w:tcMar>
          </w:tcPr>
          <w:p>
            <w:r>
              <w:rPr>
                <w:b/>
                <w:bCs/>
                <w:color w:val="FFFFFF"/>
              </w:rPr>
              <w:t xml:space="preserve">Tag</w:t>
            </w:r>
          </w:p>
        </w:tc>
        <w:tc>
          <w:tcPr>
            <w:tcW w:type="dxa" w:w="2400"/>
            <w:shd w:fill="1D4ED8" w:val="clear"/>
            <w:tcMar>
              <w:top w:type="dxa" w:w="80"/>
              <w:left w:type="dxa" w:w="100"/>
              <w:bottom w:type="dxa" w:w="80"/>
              <w:right w:type="dxa" w:w="100"/>
            </w:tcMar>
          </w:tcPr>
          <w:p>
            <w:r>
              <w:rPr>
                <w:b/>
                <w:bCs/>
                <w:color w:val="FFFFFF"/>
              </w:rPr>
              <w:t xml:space="preserve">Applied in branch</w:t>
            </w:r>
          </w:p>
        </w:tc>
        <w:tc>
          <w:tcPr>
            <w:tcW w:type="dxa" w:w="4000"/>
            <w:shd w:fill="1D4ED8" w:val="clear"/>
            <w:tcMar>
              <w:top w:type="dxa" w:w="80"/>
              <w:left w:type="dxa" w:w="100"/>
              <w:bottom w:type="dxa" w:w="80"/>
              <w:right w:type="dxa" w:w="100"/>
            </w:tcMar>
          </w:tcPr>
          <w:p>
            <w:r>
              <w:rPr>
                <w:b/>
                <w:bCs/>
                <w:color w:val="FFFFFF"/>
              </w:rPr>
              <w:t xml:space="preserve">Meaning</w:t>
            </w:r>
          </w:p>
        </w:tc>
      </w:tr>
      <w:tr>
        <w:tc>
          <w:tcPr>
            <w:tcW w:type="dxa" w:w="3400"/>
            <w:shd w:fill="F8FAFC" w:val="clear"/>
            <w:tcMar>
              <w:top w:type="dxa" w:w="80"/>
              <w:left w:type="dxa" w:w="100"/>
              <w:bottom w:type="dxa" w:w="80"/>
              <w:right w:type="dxa" w:w="100"/>
            </w:tcMar>
          </w:tcPr>
          <w:p>
            <w:r>
              <w:t xml:space="preserve">RFQ-New / Cat-&lt;Category&gt;</w:t>
            </w:r>
          </w:p>
        </w:tc>
        <w:tc>
          <w:tcPr>
            <w:tcW w:type="dxa" w:w="2400"/>
            <w:shd w:fill="F8FAFC" w:val="clear"/>
            <w:tcMar>
              <w:top w:type="dxa" w:w="80"/>
              <w:left w:type="dxa" w:w="100"/>
              <w:bottom w:type="dxa" w:w="80"/>
              <w:right w:type="dxa" w:w="100"/>
            </w:tcMar>
          </w:tcPr>
          <w:p>
            <w:r>
              <w:t xml:space="preserve">Automation #1 (existing)</w:t>
            </w:r>
          </w:p>
        </w:tc>
        <w:tc>
          <w:tcPr>
            <w:tcW w:type="dxa" w:w="4000"/>
            <w:shd w:fill="F8FAFC" w:val="clear"/>
            <w:tcMar>
              <w:top w:type="dxa" w:w="80"/>
              <w:left w:type="dxa" w:w="100"/>
              <w:bottom w:type="dxa" w:w="80"/>
              <w:right w:type="dxa" w:w="100"/>
            </w:tcMar>
          </w:tcPr>
          <w:p>
            <w:r>
              <w:t xml:space="preserve">Fresh RFQ, not yet reviewed</w:t>
            </w:r>
          </w:p>
        </w:tc>
      </w:tr>
      <w:tr>
        <w:tc>
          <w:tcPr>
            <w:tcW w:type="dxa" w:w="3400"/>
            <w:shd w:fill="FFFFFF" w:val="clear"/>
            <w:tcMar>
              <w:top w:type="dxa" w:w="80"/>
              <w:left w:type="dxa" w:w="100"/>
              <w:bottom w:type="dxa" w:w="80"/>
              <w:right w:type="dxa" w:w="100"/>
            </w:tcMar>
          </w:tcPr>
          <w:p>
            <w:r>
              <w:t xml:space="preserve">Under-Review</w:t>
            </w:r>
          </w:p>
        </w:tc>
        <w:tc>
          <w:tcPr>
            <w:tcW w:type="dxa" w:w="2400"/>
            <w:shd w:fill="FFFFFF" w:val="clear"/>
            <w:tcMar>
              <w:top w:type="dxa" w:w="80"/>
              <w:left w:type="dxa" w:w="100"/>
              <w:bottom w:type="dxa" w:w="80"/>
              <w:right w:type="dxa" w:w="100"/>
            </w:tcMar>
          </w:tcPr>
          <w:p>
            <w:r>
              <w:t xml:space="preserve">Under Review branch</w:t>
            </w:r>
          </w:p>
        </w:tc>
        <w:tc>
          <w:tcPr>
            <w:tcW w:type="dxa" w:w="4000"/>
            <w:shd w:fill="FFFFFF" w:val="clear"/>
            <w:tcMar>
              <w:top w:type="dxa" w:w="80"/>
              <w:left w:type="dxa" w:w="100"/>
              <w:bottom w:type="dxa" w:w="80"/>
              <w:right w:type="dxa" w:w="100"/>
            </w:tcMar>
          </w:tcPr>
          <w:p>
            <w:r>
              <w:t xml:space="preserve">Rep is actively reviewing</w:t>
            </w:r>
          </w:p>
        </w:tc>
      </w:tr>
      <w:tr>
        <w:tc>
          <w:tcPr>
            <w:tcW w:type="dxa" w:w="3400"/>
            <w:shd w:fill="F8FAFC" w:val="clear"/>
            <w:tcMar>
              <w:top w:type="dxa" w:w="80"/>
              <w:left w:type="dxa" w:w="100"/>
              <w:bottom w:type="dxa" w:w="80"/>
              <w:right w:type="dxa" w:w="100"/>
            </w:tcMar>
          </w:tcPr>
          <w:p>
            <w:r>
              <w:t xml:space="preserve">Quote-Sent</w:t>
            </w:r>
          </w:p>
        </w:tc>
        <w:tc>
          <w:tcPr>
            <w:tcW w:type="dxa" w:w="2400"/>
            <w:shd w:fill="F8FAFC" w:val="clear"/>
            <w:tcMar>
              <w:top w:type="dxa" w:w="80"/>
              <w:left w:type="dxa" w:w="100"/>
              <w:bottom w:type="dxa" w:w="80"/>
              <w:right w:type="dxa" w:w="100"/>
            </w:tcMar>
          </w:tcPr>
          <w:p>
            <w:r>
              <w:t xml:space="preserve">Quotation Sent branch</w:t>
            </w:r>
          </w:p>
        </w:tc>
        <w:tc>
          <w:tcPr>
            <w:tcW w:type="dxa" w:w="4000"/>
            <w:shd w:fill="F8FAFC" w:val="clear"/>
            <w:tcMar>
              <w:top w:type="dxa" w:w="80"/>
              <w:left w:type="dxa" w:w="100"/>
              <w:bottom w:type="dxa" w:w="80"/>
              <w:right w:type="dxa" w:w="100"/>
            </w:tcMar>
          </w:tcPr>
          <w:p>
            <w:r>
              <w:t xml:space="preserve">Quote delivered, nudge clock started</w:t>
            </w:r>
          </w:p>
        </w:tc>
      </w:tr>
      <w:tr>
        <w:tc>
          <w:tcPr>
            <w:tcW w:type="dxa" w:w="3400"/>
            <w:shd w:fill="FFFFFF" w:val="clear"/>
            <w:tcMar>
              <w:top w:type="dxa" w:w="80"/>
              <w:left w:type="dxa" w:w="100"/>
              <w:bottom w:type="dxa" w:w="80"/>
              <w:right w:type="dxa" w:w="100"/>
            </w:tcMar>
          </w:tcPr>
          <w:p>
            <w:r>
              <w:t xml:space="preserve">Negotiation</w:t>
            </w:r>
          </w:p>
        </w:tc>
        <w:tc>
          <w:tcPr>
            <w:tcW w:type="dxa" w:w="2400"/>
            <w:shd w:fill="FFFFFF" w:val="clear"/>
            <w:tcMar>
              <w:top w:type="dxa" w:w="80"/>
              <w:left w:type="dxa" w:w="100"/>
              <w:bottom w:type="dxa" w:w="80"/>
              <w:right w:type="dxa" w:w="100"/>
            </w:tcMar>
          </w:tcPr>
          <w:p>
            <w:r>
              <w:t xml:space="preserve">Negotiation branch</w:t>
            </w:r>
          </w:p>
        </w:tc>
        <w:tc>
          <w:tcPr>
            <w:tcW w:type="dxa" w:w="4000"/>
            <w:shd w:fill="FFFFFF" w:val="clear"/>
            <w:tcMar>
              <w:top w:type="dxa" w:w="80"/>
              <w:left w:type="dxa" w:w="100"/>
              <w:bottom w:type="dxa" w:w="80"/>
              <w:right w:type="dxa" w:w="100"/>
            </w:tcMar>
          </w:tcPr>
          <w:p>
            <w:r>
              <w:t xml:space="preserve">Customer negotiating terms</w:t>
            </w:r>
          </w:p>
        </w:tc>
      </w:tr>
      <w:tr>
        <w:tc>
          <w:tcPr>
            <w:tcW w:type="dxa" w:w="3400"/>
            <w:shd w:fill="F8FAFC" w:val="clear"/>
            <w:tcMar>
              <w:top w:type="dxa" w:w="80"/>
              <w:left w:type="dxa" w:w="100"/>
              <w:bottom w:type="dxa" w:w="80"/>
              <w:right w:type="dxa" w:w="100"/>
            </w:tcMar>
          </w:tcPr>
          <w:p>
            <w:r>
              <w:t xml:space="preserve">Quotation-Accepted</w:t>
            </w:r>
          </w:p>
        </w:tc>
        <w:tc>
          <w:tcPr>
            <w:tcW w:type="dxa" w:w="2400"/>
            <w:shd w:fill="F8FAFC" w:val="clear"/>
            <w:tcMar>
              <w:top w:type="dxa" w:w="80"/>
              <w:left w:type="dxa" w:w="100"/>
              <w:bottom w:type="dxa" w:w="80"/>
              <w:right w:type="dxa" w:w="100"/>
            </w:tcMar>
          </w:tcPr>
          <w:p>
            <w:r>
              <w:t xml:space="preserve">Accepted branch</w:t>
            </w:r>
          </w:p>
        </w:tc>
        <w:tc>
          <w:tcPr>
            <w:tcW w:type="dxa" w:w="4000"/>
            <w:shd w:fill="F8FAFC" w:val="clear"/>
            <w:tcMar>
              <w:top w:type="dxa" w:w="80"/>
              <w:left w:type="dxa" w:w="100"/>
              <w:bottom w:type="dxa" w:w="80"/>
              <w:right w:type="dxa" w:w="100"/>
            </w:tcMar>
          </w:tcPr>
          <w:p>
            <w:r>
              <w:t xml:space="preserve">Awaiting payment</w:t>
            </w:r>
          </w:p>
        </w:tc>
      </w:tr>
      <w:tr>
        <w:tc>
          <w:tcPr>
            <w:tcW w:type="dxa" w:w="3400"/>
            <w:shd w:fill="FFFFFF" w:val="clear"/>
            <w:tcMar>
              <w:top w:type="dxa" w:w="80"/>
              <w:left w:type="dxa" w:w="100"/>
              <w:bottom w:type="dxa" w:w="80"/>
              <w:right w:type="dxa" w:w="100"/>
            </w:tcMar>
          </w:tcPr>
          <w:p>
            <w:r>
              <w:t xml:space="preserve">Nurture-Abandoned</w:t>
            </w:r>
          </w:p>
        </w:tc>
        <w:tc>
          <w:tcPr>
            <w:tcW w:type="dxa" w:w="2400"/>
            <w:shd w:fill="FFFFFF" w:val="clear"/>
            <w:tcMar>
              <w:top w:type="dxa" w:w="80"/>
              <w:left w:type="dxa" w:w="100"/>
              <w:bottom w:type="dxa" w:w="80"/>
              <w:right w:type="dxa" w:w="100"/>
            </w:tcMar>
          </w:tcPr>
          <w:p>
            <w:r>
              <w:t xml:space="preserve">Abandonment continuation</w:t>
            </w:r>
          </w:p>
        </w:tc>
        <w:tc>
          <w:tcPr>
            <w:tcW w:type="dxa" w:w="4000"/>
            <w:shd w:fill="FFFFFF" w:val="clear"/>
            <w:tcMar>
              <w:top w:type="dxa" w:w="80"/>
              <w:left w:type="dxa" w:w="100"/>
              <w:bottom w:type="dxa" w:w="80"/>
              <w:right w:type="dxa" w:w="100"/>
            </w:tcMar>
          </w:tcPr>
          <w:p>
            <w:r>
              <w:t xml:space="preserve">No reply after Quote Sent Day 3</w:t>
            </w:r>
          </w:p>
        </w:tc>
      </w:tr>
      <w:tr>
        <w:tc>
          <w:tcPr>
            <w:tcW w:type="dxa" w:w="3400"/>
            <w:shd w:fill="F8FAFC" w:val="clear"/>
            <w:tcMar>
              <w:top w:type="dxa" w:w="80"/>
              <w:left w:type="dxa" w:w="100"/>
              <w:bottom w:type="dxa" w:w="80"/>
              <w:right w:type="dxa" w:w="100"/>
            </w:tcMar>
          </w:tcPr>
          <w:p>
            <w:r>
              <w:t xml:space="preserve">Customer / Closed-Won</w:t>
            </w:r>
          </w:p>
        </w:tc>
        <w:tc>
          <w:tcPr>
            <w:tcW w:type="dxa" w:w="2400"/>
            <w:shd w:fill="F8FAFC" w:val="clear"/>
            <w:tcMar>
              <w:top w:type="dxa" w:w="80"/>
              <w:left w:type="dxa" w:w="100"/>
              <w:bottom w:type="dxa" w:w="80"/>
              <w:right w:type="dxa" w:w="100"/>
            </w:tcMar>
          </w:tcPr>
          <w:p>
            <w:r>
              <w:t xml:space="preserve">Completed branch</w:t>
            </w:r>
          </w:p>
        </w:tc>
        <w:tc>
          <w:tcPr>
            <w:tcW w:type="dxa" w:w="4000"/>
            <w:shd w:fill="F8FAFC" w:val="clear"/>
            <w:tcMar>
              <w:top w:type="dxa" w:w="80"/>
              <w:left w:type="dxa" w:w="100"/>
              <w:bottom w:type="dxa" w:w="80"/>
              <w:right w:type="dxa" w:w="100"/>
            </w:tcMar>
          </w:tcPr>
          <w:p>
            <w:r>
              <w:t xml:space="preserve">Order paid, deal won</w:t>
            </w:r>
          </w:p>
        </w:tc>
      </w:tr>
    </w:tbl>
    <w:p>
      <w:pPr>
        <w:pStyle w:val="Heading2"/>
        <w:spacing w:after="150" w:before="300"/>
      </w:pPr>
      <w:r>
        <w:t xml:space="preserve">0.7 GHL location — where to build</w:t>
      </w:r>
    </w:p>
    <w:p>
      <w:pPr>
        <w:spacing w:after="120"/>
      </w:pPr>
      <w:r>
        <w:t xml:space="preserve">Automation → Workflows → + Create Workflow → Start from Scratch. Name it “GlycoDepot - Status Sync”. Keep it in Draft while building; publish only after testing per §3.</w:t>
      </w:r>
    </w:p>
    <w:p>
      <w:r>
        <w:br w:type="page"/>
      </w:r>
    </w:p>
    <w:p>
      <w:pPr>
        <w:pStyle w:val="Heading1"/>
        <w:spacing w:after="200" w:before="400"/>
      </w:pPr>
      <w:r>
        <w:t xml:space="preserve">1. GlycoDepot - Status Sync (the one workflow to build)</w:t>
      </w:r>
    </w:p>
    <w:p>
      <w:pPr>
        <w:spacing w:after="120"/>
      </w:pPr>
      <w:r>
        <w:t xml:space="preserve">Triggered once by BysonHub's status-change webhook. Branches on the incoming status value. Each branch below is a path off the same top-level If/Else — build them as siblings in one canvas, not separate workflows.</w:t>
      </w:r>
    </w:p>
    <w:p>
      <w:pPr>
        <w:pStyle w:val="Heading3"/>
        <w:spacing w:after="100" w:before="200"/>
      </w:pPr>
      <w:r>
        <w:t xml:space="preserve">Trigger</w:t>
      </w:r>
    </w:p>
    <w:p>
      <w:pPr>
        <w:pStyle w:val="ListParagraph"/>
        <w:numPr>
          <w:ilvl w:val="0"/>
          <w:numId w:val="2"/>
        </w:numPr>
        <w:spacing w:after="60"/>
      </w:pPr>
      <w:r>
        <w:t xml:space="preserve">Trigger type: Inbound Webhook</w:t>
      </w:r>
    </w:p>
    <w:p>
      <w:pPr>
        <w:pStyle w:val="ListParagraph"/>
        <w:numPr>
          <w:ilvl w:val="0"/>
          <w:numId w:val="2"/>
        </w:numPr>
        <w:spacing w:after="60"/>
      </w:pPr>
      <w:r>
        <w:t xml:space="preserve">Ask Nihar for the webhook URL to give him, or generate one here and send it to him — either way, this is a NEW webhook, separate from Automation #1's New RFQ webhook.</w:t>
      </w:r>
    </w:p>
    <w:p>
      <w:pPr>
        <w:pStyle w:val="ListParagraph"/>
        <w:numPr>
          <w:ilvl w:val="0"/>
          <w:numId w:val="2"/>
        </w:numPr>
        <w:spacing w:after="60"/>
      </w:pPr>
      <w:r>
        <w:t xml:space="preserve">Top-level branch: If/Else (or a multi-branch “If/Else” chain) on the incoming custom webhook field status</w:t>
      </w:r>
    </w:p>
    <w:p>
      <w:pPr>
        <w:pStyle w:val="Heading2"/>
        <w:spacing w:after="150" w:before="300"/>
      </w:pPr>
      <w:r>
        <w:t xml:space="preserve">1.1 Branch — status = “Under Review”</w:t>
      </w:r>
    </w:p>
    <w:p>
      <w:pPr>
        <w:spacing w:after="100"/>
      </w:pPr>
      <w:r>
        <w:rPr>
          <w:b/>
          <w:bCs/>
        </w:rPr>
        <w:t xml:space="preserve">Step 1 — </w:t>
      </w:r>
      <w:r>
        <w:rPr>
          <w:b/>
          <w:bCs/>
        </w:rPr>
        <w:t xml:space="preserve">Update Opportunity</w:t>
      </w:r>
      <w:r>
        <w:t xml:space="preserve">: Stage ← Under Review (match by bh_quotation_id).</w:t>
      </w:r>
    </w:p>
    <w:p>
      <w:pPr>
        <w:spacing w:after="100"/>
      </w:pPr>
      <w:r>
        <w:rPr>
          <w:b/>
          <w:bCs/>
        </w:rPr>
        <w:t xml:space="preserve">Step 2 — </w:t>
      </w:r>
      <w:r>
        <w:rPr>
          <w:b/>
          <w:bCs/>
        </w:rPr>
        <w:t xml:space="preserve">Remove Tag</w:t>
      </w:r>
      <w:r>
        <w:t xml:space="preserve">: RFQ-New.</w:t>
      </w:r>
    </w:p>
    <w:p>
      <w:pPr>
        <w:spacing w:after="100"/>
      </w:pPr>
      <w:r>
        <w:rPr>
          <w:b/>
          <w:bCs/>
        </w:rPr>
        <w:t xml:space="preserve">Step 3 — </w:t>
      </w:r>
      <w:r>
        <w:rPr>
          <w:b/>
          <w:bCs/>
        </w:rPr>
        <w:t xml:space="preserve">Add Tag</w:t>
      </w:r>
      <w:r>
        <w:t xml:space="preserve">: Under-Review.</w:t>
      </w:r>
    </w:p>
    <w:p>
      <w:pPr>
        <w:spacing w:after="100"/>
      </w:pPr>
      <w:r>
        <w:rPr>
          <w:b/>
          <w:bCs/>
        </w:rPr>
        <w:t xml:space="preserve">Step 4 — </w:t>
      </w:r>
      <w:r>
        <w:rPr>
          <w:b/>
          <w:bCs/>
        </w:rPr>
        <w:t xml:space="preserve">Wait</w:t>
      </w:r>
      <w:r>
        <w:t xml:space="preserve">: 1 day.</w:t>
      </w:r>
    </w:p>
    <w:p>
      <w:pPr>
        <w:spacing w:after="100"/>
      </w:pPr>
      <w:r>
        <w:rPr>
          <w:b/>
          <w:bCs/>
        </w:rPr>
        <w:t xml:space="preserve">Step 5 — </w:t>
      </w:r>
      <w:r>
        <w:rPr>
          <w:b/>
          <w:bCs/>
        </w:rPr>
        <w:t xml:space="preserve">If/Else — Opportunity Stage = Under Review</w:t>
      </w:r>
      <w:r>
        <w:t xml:space="preserve">: true → continue. False (moved on already) → exit this branch.</w:t>
      </w:r>
    </w:p>
    <w:p>
      <w:pPr>
        <w:spacing w:after="100"/>
      </w:pPr>
      <w:r>
        <w:rPr>
          <w:b/>
          <w:bCs/>
        </w:rPr>
        <w:t xml:space="preserve">Step 6 — </w:t>
      </w:r>
      <w:r>
        <w:rPr>
          <w:b/>
          <w:bCs/>
        </w:rPr>
        <w:t xml:space="preserve">Send Internal Notification</w:t>
      </w:r>
      <w:r>
        <w:t xml:space="preserve">: to the assigned rep: “RFQ from [Contact Name] still Under Review.”</w:t>
      </w:r>
    </w:p>
    <w:p>
      <w:pPr>
        <w:spacing w:after="100"/>
      </w:pPr>
      <w:r>
        <w:rPr>
          <w:b/>
          <w:bCs/>
        </w:rPr>
        <w:t xml:space="preserve">Step 7 — </w:t>
      </w:r>
      <w:r>
        <w:rPr>
          <w:b/>
          <w:bCs/>
        </w:rPr>
        <w:t xml:space="preserve">Wait</w:t>
      </w:r>
      <w:r>
        <w:t xml:space="preserve">: 1 more day (Day 2 total).</w:t>
      </w:r>
    </w:p>
    <w:p>
      <w:pPr>
        <w:spacing w:after="100"/>
      </w:pPr>
      <w:r>
        <w:rPr>
          <w:b/>
          <w:bCs/>
        </w:rPr>
        <w:t xml:space="preserve">Step 8 — </w:t>
      </w:r>
      <w:r>
        <w:rPr>
          <w:b/>
          <w:bCs/>
        </w:rPr>
        <w:t xml:space="preserve">If/Else — Opportunity Stage = Under Review</w:t>
      </w:r>
      <w:r>
        <w:t xml:space="preserve">: true → continue. False → exit.</w:t>
      </w:r>
    </w:p>
    <w:p>
      <w:pPr>
        <w:spacing w:after="100"/>
      </w:pPr>
      <w:r>
        <w:rPr>
          <w:b/>
          <w:bCs/>
        </w:rPr>
        <w:t xml:space="preserve">Step 9 — </w:t>
      </w:r>
      <w:r>
        <w:rPr>
          <w:b/>
          <w:bCs/>
        </w:rPr>
        <w:t xml:space="preserve">Send Internal Notification</w:t>
      </w:r>
      <w:r>
        <w:t xml:space="preserve">: escalation to rep + sales manager.</w:t>
      </w:r>
    </w:p>
    <w:p>
      <w:pPr>
        <w:pStyle w:val="Heading2"/>
        <w:spacing w:after="150" w:before="300"/>
      </w:pPr>
      <w:r>
        <w:t xml:space="preserve">1.2 Branch — status = “Quotation Sent”</w:t>
      </w:r>
    </w:p>
    <w:p>
      <w:pPr>
        <w:spacing w:after="100"/>
      </w:pPr>
      <w:r>
        <w:rPr>
          <w:b/>
          <w:bCs/>
        </w:rPr>
        <w:t xml:space="preserve">Step 1 — </w:t>
      </w:r>
      <w:r>
        <w:rPr>
          <w:b/>
          <w:bCs/>
        </w:rPr>
        <w:t xml:space="preserve">Update Opportunity</w:t>
      </w:r>
      <w:r>
        <w:t xml:space="preserve">: Stage ← Quote Sent.</w:t>
      </w:r>
    </w:p>
    <w:p>
      <w:pPr>
        <w:spacing w:after="100"/>
      </w:pPr>
      <w:r>
        <w:rPr>
          <w:b/>
          <w:bCs/>
        </w:rPr>
        <w:t xml:space="preserve">Step 2 — </w:t>
      </w:r>
      <w:r>
        <w:rPr>
          <w:b/>
          <w:bCs/>
        </w:rPr>
        <w:t xml:space="preserve">Update Contact Field</w:t>
      </w:r>
      <w:r>
        <w:t xml:space="preserve">: Quote number ← quote_number from payload.</w:t>
      </w:r>
    </w:p>
    <w:p>
      <w:pPr>
        <w:spacing w:after="100"/>
      </w:pPr>
      <w:r>
        <w:rPr>
          <w:b/>
          <w:bCs/>
        </w:rPr>
        <w:t xml:space="preserve">Step 3 — </w:t>
      </w:r>
      <w:r>
        <w:rPr>
          <w:b/>
          <w:bCs/>
        </w:rPr>
        <w:t xml:space="preserve">Update Contact Field</w:t>
      </w:r>
      <w:r>
        <w:t xml:space="preserve">: Quoted value (USD) ← quoted_value from payload.</w:t>
      </w:r>
    </w:p>
    <w:p>
      <w:pPr>
        <w:spacing w:after="100"/>
      </w:pPr>
      <w:r>
        <w:rPr>
          <w:b/>
          <w:bCs/>
        </w:rPr>
        <w:t xml:space="preserve">Step 4 — </w:t>
      </w:r>
      <w:r>
        <w:rPr>
          <w:b/>
          <w:bCs/>
        </w:rPr>
        <w:t xml:space="preserve">Remove Tag</w:t>
      </w:r>
      <w:r>
        <w:t xml:space="preserve">: Under-Review.</w:t>
      </w:r>
    </w:p>
    <w:p>
      <w:pPr>
        <w:spacing w:after="100"/>
      </w:pPr>
      <w:r>
        <w:rPr>
          <w:b/>
          <w:bCs/>
        </w:rPr>
        <w:t xml:space="preserve">Step 5 — </w:t>
      </w:r>
      <w:r>
        <w:rPr>
          <w:b/>
          <w:bCs/>
        </w:rPr>
        <w:t xml:space="preserve">Add Tag</w:t>
      </w:r>
      <w:r>
        <w:t xml:space="preserve">: Quote-Sent.</w:t>
      </w:r>
    </w:p>
    <w:p>
      <w:pPr>
        <w:spacing w:after="100"/>
      </w:pPr>
      <w:r>
        <w:rPr>
          <w:b/>
          <w:bCs/>
        </w:rPr>
        <w:t xml:space="preserve">Step 6 — </w:t>
      </w:r>
      <w:r>
        <w:rPr>
          <w:b/>
          <w:bCs/>
        </w:rPr>
        <w:t xml:space="preserve">Wait</w:t>
      </w:r>
      <w:r>
        <w:t xml:space="preserve">: 2 days.</w:t>
      </w:r>
    </w:p>
    <w:p>
      <w:pPr>
        <w:spacing w:after="100"/>
      </w:pPr>
      <w:r>
        <w:rPr>
          <w:b/>
          <w:bCs/>
        </w:rPr>
        <w:t xml:space="preserve">Step 7 — </w:t>
      </w:r>
      <w:r>
        <w:rPr>
          <w:b/>
          <w:bCs/>
        </w:rPr>
        <w:t xml:space="preserve">If/Else — Contact has tag Quote-Sent</w:t>
      </w:r>
      <w:r>
        <w:t xml:space="preserve">: true (no reply, still in this stage) → continue. False → exit.</w:t>
      </w:r>
    </w:p>
    <w:p>
      <w:pPr>
        <w:spacing w:after="100"/>
      </w:pPr>
      <w:r>
        <w:rPr>
          <w:b/>
          <w:bCs/>
        </w:rPr>
        <w:t xml:space="preserve">Step 8 — </w:t>
      </w:r>
      <w:r>
        <w:rPr>
          <w:b/>
          <w:bCs/>
        </w:rPr>
        <w:t xml:space="preserve">Send Email</w:t>
      </w:r>
      <w:r>
        <w:t xml:space="preserve">: Day 2 nudge — see content note below.</w:t>
      </w:r>
    </w:p>
    <w:p>
      <w:pPr>
        <w:spacing w:after="100"/>
      </w:pPr>
      <w:r>
        <w:rPr>
          <w:b/>
          <w:bCs/>
        </w:rPr>
        <w:t xml:space="preserve">Step 9 — </w:t>
      </w:r>
      <w:r>
        <w:rPr>
          <w:b/>
          <w:bCs/>
        </w:rPr>
        <w:t xml:space="preserve">Update Contact Field</w:t>
      </w:r>
      <w:r>
        <w:t xml:space="preserve">: Follow-up count ← increment by 1.</w:t>
      </w:r>
    </w:p>
    <w:p>
      <w:pPr>
        <w:spacing w:after="100"/>
      </w:pPr>
      <w:r>
        <w:rPr>
          <w:b/>
          <w:bCs/>
        </w:rPr>
        <w:t xml:space="preserve">Step 10 — </w:t>
      </w:r>
      <w:r>
        <w:rPr>
          <w:b/>
          <w:bCs/>
        </w:rPr>
        <w:t xml:space="preserve">Wait</w:t>
      </w:r>
      <w:r>
        <w:t xml:space="preserve">: 1 more day (Day 3 total).</w:t>
      </w:r>
    </w:p>
    <w:p>
      <w:pPr>
        <w:spacing w:after="100"/>
      </w:pPr>
      <w:r>
        <w:rPr>
          <w:b/>
          <w:bCs/>
        </w:rPr>
        <w:t xml:space="preserve">Step 11 — </w:t>
      </w:r>
      <w:r>
        <w:rPr>
          <w:b/>
          <w:bCs/>
        </w:rPr>
        <w:t xml:space="preserve">If/Else — Contact has tag Quote-Sent</w:t>
      </w:r>
      <w:r>
        <w:t xml:space="preserve">: true → continue. False → exit.</w:t>
      </w:r>
    </w:p>
    <w:p>
      <w:pPr>
        <w:spacing w:after="100"/>
      </w:pPr>
      <w:r>
        <w:rPr>
          <w:b/>
          <w:bCs/>
        </w:rPr>
        <w:t xml:space="preserve">Step 12 — </w:t>
      </w:r>
      <w:r>
        <w:rPr>
          <w:b/>
          <w:bCs/>
        </w:rPr>
        <w:t xml:space="preserve">Send Email</w:t>
      </w:r>
      <w:r>
        <w:t xml:space="preserve">: Day 3 second nudge + datasheet link.</w:t>
      </w:r>
    </w:p>
    <w:p>
      <w:pPr>
        <w:spacing w:after="100"/>
      </w:pPr>
      <w:r>
        <w:rPr>
          <w:b/>
          <w:bCs/>
        </w:rPr>
        <w:t xml:space="preserve">Step 13 — </w:t>
      </w:r>
      <w:r>
        <w:rPr>
          <w:b/>
          <w:bCs/>
        </w:rPr>
        <w:t xml:space="preserve">Update Contact Field</w:t>
      </w:r>
      <w:r>
        <w:t xml:space="preserve">: Follow-up count ← increment by 1.</w:t>
      </w:r>
    </w:p>
    <w:p>
      <w:pPr>
        <w:spacing w:after="100"/>
      </w:pPr>
      <w:r>
        <w:rPr>
          <w:b/>
          <w:bCs/>
        </w:rPr>
        <w:t xml:space="preserve">Step 14 — </w:t>
      </w:r>
      <w:r>
        <w:rPr>
          <w:b/>
          <w:bCs/>
        </w:rPr>
        <w:t xml:space="preserve">Create Task</w:t>
      </w:r>
      <w:r>
        <w:t xml:space="preserve">: “Follow up with [Contact Name] on outstanding RFQ”, assigned to rep.</w:t>
      </w:r>
    </w:p>
    <w:p>
      <w:pPr>
        <w:spacing w:after="100"/>
      </w:pPr>
      <w:r>
        <w:rPr>
          <w:b/>
          <w:bCs/>
        </w:rPr>
        <w:t xml:space="preserve">Step 15 — </w:t>
      </w:r>
      <w:r>
        <w:rPr>
          <w:b/>
          <w:bCs/>
        </w:rPr>
        <w:t xml:space="preserve">Continue in the SAME branch — Abandonment check</w:t>
      </w:r>
      <w:r>
        <w:t xml:space="preserve">: no additional Wait needed, this is still Day 3. If/Else — Contact has tag Quote-Sent — true → continue to Step 16 (still no reply as of right now). False → exit.</w:t>
      </w:r>
    </w:p>
    <w:p>
      <w:pPr>
        <w:spacing w:after="100"/>
      </w:pPr>
      <w:r>
        <w:rPr>
          <w:b/>
          <w:bCs/>
        </w:rPr>
        <w:t xml:space="preserve">Step 16 — </w:t>
      </w:r>
      <w:r>
        <w:rPr>
          <w:b/>
          <w:bCs/>
        </w:rPr>
        <w:t xml:space="preserve">Update Opportunity</w:t>
      </w:r>
      <w:r>
        <w:t xml:space="preserve">: Stage ← Abandoned.</w:t>
      </w:r>
    </w:p>
    <w:p>
      <w:pPr>
        <w:spacing w:after="100"/>
      </w:pPr>
      <w:r>
        <w:rPr>
          <w:b/>
          <w:bCs/>
        </w:rPr>
        <w:t xml:space="preserve">Step 17 — </w:t>
      </w:r>
      <w:r>
        <w:rPr>
          <w:b/>
          <w:bCs/>
        </w:rPr>
        <w:t xml:space="preserve">Add Tag</w:t>
      </w:r>
      <w:r>
        <w:t xml:space="preserve">: Nurture-Abandoned.</w:t>
      </w:r>
    </w:p>
    <w:p>
      <w:pPr>
        <w:spacing w:after="100"/>
      </w:pPr>
      <w:r>
        <w:rPr>
          <w:b/>
          <w:bCs/>
        </w:rPr>
        <w:t xml:space="preserve">Step 18 — </w:t>
      </w:r>
      <w:r>
        <w:rPr>
          <w:b/>
          <w:bCs/>
        </w:rPr>
        <w:t xml:space="preserve">Remove Tag</w:t>
      </w:r>
      <w:r>
        <w:t xml:space="preserve">: Quote-Sent.</w:t>
      </w:r>
    </w:p>
    <w:p>
      <w:pPr>
        <w:spacing w:after="100"/>
      </w:pPr>
      <w:r>
        <w:rPr>
          <w:b/>
          <w:bCs/>
        </w:rPr>
        <w:t xml:space="preserve">Step 19 — </w:t>
      </w:r>
      <w:r>
        <w:rPr>
          <w:b/>
          <w:bCs/>
        </w:rPr>
        <w:t xml:space="preserve">Add to Workflow / Campaign</w:t>
      </w:r>
      <w:r>
        <w:t xml:space="preserve">: enrol in a monthly long-term nurture sequence (build a simple separate nurture campaign if one doesn't exist).</w:t>
      </w:r>
    </w:p>
    <w:p>
      <w:pPr>
        <w:spacing w:after="100"/>
      </w:pPr>
      <w:r>
        <w:rPr>
          <w:b/>
          <w:bCs/>
        </w:rPr>
        <w:t xml:space="preserve">Step 20 — </w:t>
      </w:r>
      <w:r>
        <w:rPr>
          <w:b/>
          <w:bCs/>
        </w:rPr>
        <w:t xml:space="preserve">Google Ads Customer Match (Milestone 1B, on hold)</w:t>
      </w:r>
      <w:r>
        <w:t xml:space="preserve">: push email to audience “GHL-Abandoned-RFQ” — add this step when 1B is scoped, skip for now.</w:t>
      </w:r>
    </w:p>
    <w:p>
      <w:pPr>
        <w:spacing w:after="100"/>
      </w:pPr>
      <w:r>
        <w:rPr>
          <w:b/>
          <w:bCs/>
        </w:rPr>
        <w:t xml:space="preserve">Step 21 — </w:t>
      </w:r>
      <w:r>
        <w:rPr>
          <w:b/>
          <w:bCs/>
        </w:rPr>
        <w:t xml:space="preserve">Create Task</w:t>
      </w:r>
      <w:r>
        <w:t xml:space="preserve">: “90-day re-engagement check”, assigned to rep, due in 90 days.</w:t>
      </w:r>
    </w:p>
    <w:p>
      <w:pPr>
        <w:pBdr>
          <w:left w:val="single" w:color="1D4ED8" w:sz="24" w:space="8"/>
        </w:pBdr>
        <w:spacing w:after="150" w:before="100"/>
        <w:ind w:left="200"/>
      </w:pPr>
      <w:r>
        <w:rPr>
          <w:b/>
          <w:bCs/>
          <w:color w:val="1D4ED8"/>
        </w:rPr>
        <w:t xml:space="preserve">Customer email content: </w:t>
      </w:r>
      <w:r>
        <w:t xml:space="preserve">Day 2: “Did our quote cover your requirements?” Day 3: second nudge + a relevant datasheet/application-note link. Never restate pricing or resend the quotation — BysonHub already sent it.</w:t>
      </w:r>
    </w:p>
    <w:p>
      <w:pPr>
        <w:pStyle w:val="Heading2"/>
        <w:spacing w:after="150" w:before="300"/>
      </w:pPr>
      <w:r>
        <w:t xml:space="preserve">1.3 Branch — status = “Negotiation”</w:t>
      </w:r>
    </w:p>
    <w:p>
      <w:pPr>
        <w:spacing w:after="100"/>
      </w:pPr>
      <w:r>
        <w:rPr>
          <w:b/>
          <w:bCs/>
        </w:rPr>
        <w:t xml:space="preserve">Step 1 — </w:t>
      </w:r>
      <w:r>
        <w:rPr>
          <w:b/>
          <w:bCs/>
        </w:rPr>
        <w:t xml:space="preserve">Update Opportunity</w:t>
      </w:r>
      <w:r>
        <w:t xml:space="preserve">: Stage ← Negotiation.</w:t>
      </w:r>
    </w:p>
    <w:p>
      <w:pPr>
        <w:spacing w:after="100"/>
      </w:pPr>
      <w:r>
        <w:rPr>
          <w:b/>
          <w:bCs/>
        </w:rPr>
        <w:t xml:space="preserve">Step 2 — </w:t>
      </w:r>
      <w:r>
        <w:rPr>
          <w:b/>
          <w:bCs/>
        </w:rPr>
        <w:t xml:space="preserve">Remove Tag</w:t>
      </w:r>
      <w:r>
        <w:t xml:space="preserve">: Quote-Sent — this is what halts branch 1.2's in-flight nudge/abandonment waits for this contact.</w:t>
      </w:r>
    </w:p>
    <w:p>
      <w:pPr>
        <w:spacing w:after="100"/>
      </w:pPr>
      <w:r>
        <w:rPr>
          <w:b/>
          <w:bCs/>
        </w:rPr>
        <w:t xml:space="preserve">Step 3 — </w:t>
      </w:r>
      <w:r>
        <w:rPr>
          <w:b/>
          <w:bCs/>
        </w:rPr>
        <w:t xml:space="preserve">Add Tag</w:t>
      </w:r>
      <w:r>
        <w:t xml:space="preserve">: Negotiation.</w:t>
      </w:r>
    </w:p>
    <w:p>
      <w:pPr>
        <w:spacing w:after="100"/>
      </w:pPr>
      <w:r>
        <w:rPr>
          <w:b/>
          <w:bCs/>
        </w:rPr>
        <w:t xml:space="preserve">Step 4 — </w:t>
      </w:r>
      <w:r>
        <w:rPr>
          <w:b/>
          <w:bCs/>
        </w:rPr>
        <w:t xml:space="preserve">Create Task</w:t>
      </w:r>
      <w:r>
        <w:t xml:space="preserve">: “Active negotiation — [Contact Name]”, assigned to rep.</w:t>
      </w:r>
    </w:p>
    <w:p>
      <w:pPr>
        <w:spacing w:after="100"/>
      </w:pPr>
      <w:r>
        <w:rPr>
          <w:b/>
          <w:bCs/>
        </w:rPr>
        <w:t xml:space="preserve">Step 5 — </w:t>
      </w:r>
      <w:r>
        <w:rPr>
          <w:b/>
          <w:bCs/>
        </w:rPr>
        <w:t xml:space="preserve">Wait</w:t>
      </w:r>
      <w:r>
        <w:t xml:space="preserve">: 5 business days (use GHL's business-day Wait option).</w:t>
      </w:r>
    </w:p>
    <w:p>
      <w:pPr>
        <w:spacing w:after="100"/>
      </w:pPr>
      <w:r>
        <w:rPr>
          <w:b/>
          <w:bCs/>
        </w:rPr>
        <w:t xml:space="preserve">Step 6 — </w:t>
      </w:r>
      <w:r>
        <w:rPr>
          <w:b/>
          <w:bCs/>
        </w:rPr>
        <w:t xml:space="preserve">If/Else — Opportunity Stage = Negotiation</w:t>
      </w:r>
      <w:r>
        <w:t xml:space="preserve">: true → Send Internal Notification to rep to check in. False → exit.</w:t>
      </w:r>
    </w:p>
    <w:p>
      <w:pPr>
        <w:pBdr>
          <w:left w:val="single" w:color="15803D" w:sz="24" w:space="8"/>
        </w:pBdr>
        <w:spacing w:after="150" w:before="100"/>
        <w:ind w:left="200"/>
      </w:pPr>
      <w:r>
        <w:rPr>
          <w:b/>
          <w:bCs/>
          <w:color w:val="15803D"/>
        </w:rPr>
        <w:t xml:space="preserve">Test this specifically: </w:t>
      </w:r>
      <w:r>
        <w:t xml:space="preserve">Confirm removing the Quote-Sent tag here actually halts branch 1.2's in-flight wait for a test contact — this is the most important cross-branch dependency in the whole workflow.</w:t>
      </w:r>
    </w:p>
    <w:p>
      <w:pPr>
        <w:pStyle w:val="Heading2"/>
        <w:spacing w:after="150" w:before="300"/>
      </w:pPr>
      <w:r>
        <w:t xml:space="preserve">1.4 Branch — status = “Accepted”</w:t>
      </w:r>
    </w:p>
    <w:p>
      <w:pPr>
        <w:spacing w:after="100"/>
      </w:pPr>
      <w:r>
        <w:rPr>
          <w:b/>
          <w:bCs/>
        </w:rPr>
        <w:t xml:space="preserve">Step 1 — </w:t>
      </w:r>
      <w:r>
        <w:rPr>
          <w:b/>
          <w:bCs/>
        </w:rPr>
        <w:t xml:space="preserve">Update Opportunity</w:t>
      </w:r>
      <w:r>
        <w:t xml:space="preserve">: Stage ← Quotation Accepted.</w:t>
      </w:r>
    </w:p>
    <w:p>
      <w:pPr>
        <w:spacing w:after="100"/>
      </w:pPr>
      <w:r>
        <w:rPr>
          <w:b/>
          <w:bCs/>
        </w:rPr>
        <w:t xml:space="preserve">Step 2 — </w:t>
      </w:r>
      <w:r>
        <w:rPr>
          <w:b/>
          <w:bCs/>
        </w:rPr>
        <w:t xml:space="preserve">Remove Tag</w:t>
      </w:r>
      <w:r>
        <w:t xml:space="preserve">: Negotiation, Quote-Sent (remove both — covers entry from either prior stage).</w:t>
      </w:r>
    </w:p>
    <w:p>
      <w:pPr>
        <w:spacing w:after="100"/>
      </w:pPr>
      <w:r>
        <w:rPr>
          <w:b/>
          <w:bCs/>
        </w:rPr>
        <w:t xml:space="preserve">Step 3 — </w:t>
      </w:r>
      <w:r>
        <w:rPr>
          <w:b/>
          <w:bCs/>
        </w:rPr>
        <w:t xml:space="preserve">Add Tag</w:t>
      </w:r>
      <w:r>
        <w:t xml:space="preserve">: Quotation-Accepted.</w:t>
      </w:r>
    </w:p>
    <w:p>
      <w:pPr>
        <w:spacing w:after="100"/>
      </w:pPr>
      <w:r>
        <w:rPr>
          <w:b/>
          <w:bCs/>
        </w:rPr>
        <w:t xml:space="preserve">Step 4 — </w:t>
      </w:r>
      <w:r>
        <w:rPr>
          <w:b/>
          <w:bCs/>
        </w:rPr>
        <w:t xml:space="preserve">Send Internal Notification</w:t>
      </w:r>
      <w:r>
        <w:t xml:space="preserve">: to rep: “Quotation accepted — awaiting payment.”</w:t>
      </w:r>
    </w:p>
    <w:p>
      <w:pPr>
        <w:spacing w:after="100"/>
      </w:pPr>
      <w:r>
        <w:rPr>
          <w:b/>
          <w:bCs/>
        </w:rPr>
        <w:t xml:space="preserve">Step 5 — </w:t>
      </w:r>
      <w:r>
        <w:rPr>
          <w:b/>
          <w:bCs/>
        </w:rPr>
        <w:t xml:space="preserve">Create Task</w:t>
      </w:r>
      <w:r>
        <w:t xml:space="preserve">: “Monitor payment status — [Contact Name]”, assigned to rep.</w:t>
      </w:r>
    </w:p>
    <w:p>
      <w:pPr>
        <w:pBdr>
          <w:left w:val="single" w:color="1D4ED8" w:sz="24" w:space="8"/>
        </w:pBdr>
        <w:spacing w:after="150" w:before="100"/>
        <w:ind w:left="200"/>
      </w:pPr>
      <w:r>
        <w:rPr>
          <w:b/>
          <w:bCs/>
          <w:color w:val="1D4ED8"/>
        </w:rPr>
        <w:t xml:space="preserve">No customer email here: </w:t>
      </w:r>
      <w:r>
        <w:t xml:space="preserve">BysonHub sends the Stripe payment link / bank details.</w:t>
      </w:r>
    </w:p>
    <w:p>
      <w:pPr>
        <w:pStyle w:val="Heading2"/>
        <w:spacing w:after="150" w:before="300"/>
      </w:pPr>
      <w:r>
        <w:t xml:space="preserve">1.5 Branch — status = “Completed” (Order Paid)</w:t>
      </w:r>
    </w:p>
    <w:p>
      <w:pPr>
        <w:pBdr>
          <w:left w:val="single" w:color="B45309" w:sz="24" w:space="8"/>
        </w:pBdr>
        <w:spacing w:after="150" w:before="100"/>
        <w:ind w:left="200"/>
      </w:pPr>
      <w:r>
        <w:rPr>
          <w:b/>
          <w:bCs/>
          <w:color w:val="B45309"/>
        </w:rPr>
        <w:t xml:space="preserve">Direct Order Cart nuance: </w:t>
      </w:r>
      <w:r>
        <w:t xml:space="preserve">This branch may be the FIRST event GHL ever sees for this contact (Flow B direct orders skip every RFQ stage). Do not assume the opportunity already exists.</w:t>
      </w:r>
    </w:p>
    <w:p>
      <w:pPr>
        <w:spacing w:after="100"/>
      </w:pPr>
      <w:r>
        <w:rPr>
          <w:b/>
          <w:bCs/>
        </w:rPr>
        <w:t xml:space="preserve">Step 1 — </w:t>
      </w:r>
      <w:r>
        <w:rPr>
          <w:b/>
          <w:bCs/>
        </w:rPr>
        <w:t xml:space="preserve">Create/Update Contact</w:t>
      </w:r>
      <w:r>
        <w:t xml:space="preserve">: by email — GHL's standard upsert behavior handles both cases (existing RFQ contact or brand-new direct-order customer).</w:t>
      </w:r>
    </w:p>
    <w:p>
      <w:pPr>
        <w:spacing w:after="100"/>
      </w:pPr>
      <w:r>
        <w:rPr>
          <w:b/>
          <w:bCs/>
        </w:rPr>
        <w:t xml:space="preserve">Step 2 — </w:t>
      </w:r>
      <w:r>
        <w:rPr>
          <w:b/>
          <w:bCs/>
        </w:rPr>
        <w:t xml:space="preserve">If/Else — Opportunity with this bh_quotation_id exists</w:t>
      </w:r>
      <w:r>
        <w:t xml:space="preserve">: true → skip to Step 4. False (direct order, no prior RFQ) → continue to Step 3.</w:t>
      </w:r>
    </w:p>
    <w:p>
      <w:pPr>
        <w:spacing w:after="100"/>
      </w:pPr>
      <w:r>
        <w:rPr>
          <w:b/>
          <w:bCs/>
        </w:rPr>
        <w:t xml:space="preserve">Step 3 — </w:t>
      </w:r>
      <w:r>
        <w:rPr>
          <w:b/>
          <w:bCs/>
        </w:rPr>
        <w:t xml:space="preserve">Create Opportunity</w:t>
      </w:r>
      <w:r>
        <w:t xml:space="preserve">: in RFQ Pipeline, stage Paid &amp; Won directly — covers Flow B per SOW §3.3.</w:t>
      </w:r>
    </w:p>
    <w:p>
      <w:pPr>
        <w:spacing w:after="100"/>
      </w:pPr>
      <w:r>
        <w:rPr>
          <w:b/>
          <w:bCs/>
        </w:rPr>
        <w:t xml:space="preserve">Step 4 — </w:t>
      </w:r>
      <w:r>
        <w:rPr>
          <w:b/>
          <w:bCs/>
        </w:rPr>
        <w:t xml:space="preserve">Update Opportunity</w:t>
      </w:r>
      <w:r>
        <w:t xml:space="preserve">: Stage ← Paid &amp; Won, Status ← Won.</w:t>
      </w:r>
    </w:p>
    <w:p>
      <w:pPr>
        <w:spacing w:after="100"/>
      </w:pPr>
      <w:r>
        <w:rPr>
          <w:b/>
          <w:bCs/>
        </w:rPr>
        <w:t xml:space="preserve">Step 5 — </w:t>
      </w:r>
      <w:r>
        <w:rPr>
          <w:b/>
          <w:bCs/>
        </w:rPr>
        <w:t xml:space="preserve">Remove Tag</w:t>
      </w:r>
      <w:r>
        <w:t xml:space="preserve">: Quote-Sent, Negotiation, Quotation-Accepted, Nurture-Abandoned — stop every active sequence.</w:t>
      </w:r>
    </w:p>
    <w:p>
      <w:pPr>
        <w:spacing w:after="100"/>
      </w:pPr>
      <w:r>
        <w:rPr>
          <w:b/>
          <w:bCs/>
        </w:rPr>
        <w:t xml:space="preserve">Step 6 — </w:t>
      </w:r>
      <w:r>
        <w:rPr>
          <w:b/>
          <w:bCs/>
        </w:rPr>
        <w:t xml:space="preserve">Add Tag</w:t>
      </w:r>
      <w:r>
        <w:t xml:space="preserve">: Customer, Closed-Won.</w:t>
      </w:r>
    </w:p>
    <w:p>
      <w:pPr>
        <w:spacing w:after="100"/>
      </w:pPr>
      <w:r>
        <w:rPr>
          <w:b/>
          <w:bCs/>
        </w:rPr>
        <w:t xml:space="preserve">Step 7 — </w:t>
      </w:r>
      <w:r>
        <w:rPr>
          <w:b/>
          <w:bCs/>
        </w:rPr>
        <w:t xml:space="preserve">Wait</w:t>
      </w:r>
      <w:r>
        <w:t xml:space="preserve">: 3 days.</w:t>
      </w:r>
    </w:p>
    <w:p>
      <w:pPr>
        <w:spacing w:after="100"/>
      </w:pPr>
      <w:r>
        <w:rPr>
          <w:b/>
          <w:bCs/>
        </w:rPr>
        <w:t xml:space="preserve">Step 8 — </w:t>
      </w:r>
      <w:r>
        <w:rPr>
          <w:b/>
          <w:bCs/>
        </w:rPr>
        <w:t xml:space="preserve">Send Email</w:t>
      </w:r>
      <w:r>
        <w:t xml:space="preserve">: Day 3 check-in.</w:t>
      </w:r>
    </w:p>
    <w:p>
      <w:pPr>
        <w:spacing w:after="100"/>
      </w:pPr>
      <w:r>
        <w:rPr>
          <w:b/>
          <w:bCs/>
        </w:rPr>
        <w:t xml:space="preserve">Step 9 — </w:t>
      </w:r>
      <w:r>
        <w:rPr>
          <w:b/>
          <w:bCs/>
        </w:rPr>
        <w:t xml:space="preserve">Wait</w:t>
      </w:r>
      <w:r>
        <w:t xml:space="preserve">: 11 more days (Day 14 total).</w:t>
      </w:r>
    </w:p>
    <w:p>
      <w:pPr>
        <w:spacing w:after="100"/>
      </w:pPr>
      <w:r>
        <w:rPr>
          <w:b/>
          <w:bCs/>
        </w:rPr>
        <w:t xml:space="preserve">Step 10 — </w:t>
      </w:r>
      <w:r>
        <w:rPr>
          <w:b/>
          <w:bCs/>
        </w:rPr>
        <w:t xml:space="preserve">Send Email</w:t>
      </w:r>
      <w:r>
        <w:t xml:space="preserve">: Day 14 review request.</w:t>
      </w:r>
    </w:p>
    <w:p>
      <w:pPr>
        <w:spacing w:after="100"/>
      </w:pPr>
      <w:r>
        <w:rPr>
          <w:b/>
          <w:bCs/>
        </w:rPr>
        <w:t xml:space="preserve">Step 11 — </w:t>
      </w:r>
      <w:r>
        <w:rPr>
          <w:b/>
          <w:bCs/>
        </w:rPr>
        <w:t xml:space="preserve">Wait</w:t>
      </w:r>
      <w:r>
        <w:t xml:space="preserve">: 16 more days (Day 30 total).</w:t>
      </w:r>
    </w:p>
    <w:p>
      <w:pPr>
        <w:spacing w:after="100"/>
      </w:pPr>
      <w:r>
        <w:rPr>
          <w:b/>
          <w:bCs/>
        </w:rPr>
        <w:t xml:space="preserve">Step 12 — </w:t>
      </w:r>
      <w:r>
        <w:rPr>
          <w:b/>
          <w:bCs/>
        </w:rPr>
        <w:t xml:space="preserve">Send Email</w:t>
      </w:r>
      <w:r>
        <w:t xml:space="preserve">: Day 30 upsell recommendation.</w:t>
      </w:r>
    </w:p>
    <w:p>
      <w:pPr>
        <w:spacing w:after="100"/>
      </w:pPr>
      <w:r>
        <w:rPr>
          <w:b/>
          <w:bCs/>
        </w:rPr>
        <w:t xml:space="preserve">Step 13 — </w:t>
      </w:r>
      <w:r>
        <w:rPr>
          <w:b/>
          <w:bCs/>
        </w:rPr>
        <w:t xml:space="preserve">Offline conversion import (Milestone 1B, on hold)</w:t>
      </w:r>
      <w:r>
        <w:t xml:space="preserve">: send closed value to Google Ads via n8n → Conversions API, action “GHL_Closed_Won” — add when 1B is scoped.</w:t>
      </w:r>
    </w:p>
    <w:p>
      <w:pPr>
        <w:pBdr>
          <w:left w:val="single" w:color="1D4ED8" w:sz="24" w:space="8"/>
        </w:pBdr>
        <w:spacing w:after="150" w:before="100"/>
        <w:ind w:left="200"/>
      </w:pPr>
      <w:r>
        <w:rPr>
          <w:b/>
          <w:bCs/>
          <w:color w:val="1D4ED8"/>
        </w:rPr>
        <w:t xml:space="preserve">No invoice, no payment confirmation email from GHL: </w:t>
      </w:r>
      <w:r>
        <w:t xml:space="preserve">BysonHub already handled that.</w:t>
      </w:r>
    </w:p>
    <w:p>
      <w:pPr>
        <w:pBdr>
          <w:bottom w:val="single" w:color="CBD5E1" w:sz="6" w:space="4"/>
        </w:pBdr>
        <w:spacing w:after="200" w:before="200"/>
      </w:pPr>
      <w:r>
        <w:t xml:space="preserve"/>
      </w:r>
    </w:p>
    <w:p>
      <w:pPr>
        <w:pStyle w:val="Heading1"/>
        <w:spacing w:after="200" w:before="400"/>
      </w:pPr>
      <w:r>
        <w:t xml:space="preserve">2. Deliverable #5 — Backup Form (separate, not part of the webhook workflow)</w:t>
      </w:r>
    </w:p>
    <w:p>
      <w:pPr>
        <w:spacing w:after="120"/>
      </w:pPr>
      <w:r>
        <w:t xml:space="preserve">SOW §3.3.1: a native GHL form for the team to log a lead taken over phone/email. Not embedded on the website, internal use only — its own deliverable (§6 #5), not one of the automations.</w:t>
      </w:r>
    </w:p>
    <w:p>
      <w:pPr>
        <w:pStyle w:val="Heading3"/>
        <w:spacing w:after="100" w:before="200"/>
      </w:pPr>
      <w:r>
        <w:t xml:space="preserve">Build steps</w:t>
      </w:r>
    </w:p>
    <w:p>
      <w:pPr>
        <w:spacing w:after="100"/>
      </w:pPr>
      <w:r>
        <w:rPr>
          <w:b/>
          <w:bCs/>
        </w:rPr>
        <w:t xml:space="preserve">Step 1 — </w:t>
      </w:r>
      <w:r>
        <w:rPr>
          <w:b/>
          <w:bCs/>
        </w:rPr>
        <w:t xml:space="preserve">Build the form</w:t>
      </w:r>
      <w:r>
        <w:t xml:space="preserve">: Sites → Forms → + New Form. Fields: contact + Product category interest (reuse the existing Multiple Options field).</w:t>
      </w:r>
    </w:p>
    <w:p>
      <w:pPr>
        <w:spacing w:after="100"/>
      </w:pPr>
      <w:r>
        <w:rPr>
          <w:b/>
          <w:bCs/>
        </w:rPr>
        <w:t xml:space="preserve">Step 2 — </w:t>
      </w:r>
      <w:r>
        <w:rPr>
          <w:b/>
          <w:bCs/>
        </w:rPr>
        <w:t xml:space="preserve">Create a workflow</w:t>
      </w:r>
      <w:r>
        <w:t xml:space="preserve">: trigger: Form Submitted → this form.</w:t>
      </w:r>
    </w:p>
    <w:p>
      <w:pPr>
        <w:spacing w:after="100"/>
      </w:pPr>
      <w:r>
        <w:rPr>
          <w:b/>
          <w:bCs/>
        </w:rPr>
        <w:t xml:space="preserve">Step 3 — </w:t>
      </w:r>
      <w:r>
        <w:rPr>
          <w:b/>
          <w:bCs/>
        </w:rPr>
        <w:t xml:space="preserve">Create/Update Contact + Create Opportunity</w:t>
      </w:r>
      <w:r>
        <w:t xml:space="preserve">: in RFQ Pipeline, stage New RFQ — mirrors Automation #1 for consistent reporting.</w:t>
      </w:r>
    </w:p>
    <w:p>
      <w:pPr>
        <w:spacing w:after="100"/>
      </w:pPr>
      <w:r>
        <w:rPr>
          <w:b/>
          <w:bCs/>
        </w:rPr>
        <w:t xml:space="preserve">Step 4 — </w:t>
      </w:r>
      <w:r>
        <w:rPr>
          <w:b/>
          <w:bCs/>
        </w:rPr>
        <w:t xml:space="preserve">Add Tag</w:t>
      </w:r>
      <w:r>
        <w:t xml:space="preserve">: RFQ-New, Cat-&lt;Category&gt; based on the submitted category.</w:t>
      </w:r>
    </w:p>
    <w:p>
      <w:pPr>
        <w:spacing w:after="100"/>
      </w:pPr>
      <w:r>
        <w:rPr>
          <w:b/>
          <w:bCs/>
        </w:rPr>
        <w:t xml:space="preserve">Step 5 — </w:t>
      </w:r>
      <w:r>
        <w:rPr>
          <w:b/>
          <w:bCs/>
        </w:rPr>
        <w:t xml:space="preserve">Update Contact Field</w:t>
      </w:r>
      <w:r>
        <w:t xml:space="preserve">: Lead source — use the closest existing option (Direct) or ask Kumar to add a “Manual entry” option first.</w:t>
      </w:r>
    </w:p>
    <w:p>
      <w:pPr>
        <w:spacing w:after="100"/>
      </w:pPr>
      <w:r>
        <w:rPr>
          <w:b/>
          <w:bCs/>
        </w:rPr>
        <w:t xml:space="preserve">Step 6 — </w:t>
      </w:r>
      <w:r>
        <w:rPr>
          <w:b/>
          <w:bCs/>
        </w:rPr>
        <w:t xml:space="preserve">Create Task</w:t>
      </w:r>
      <w:r>
        <w:t xml:space="preserve">: “Review manually-logged RFQ”, assigned to rep, due 4 hours.</w:t>
      </w:r>
    </w:p>
    <w:p>
      <w:pPr>
        <w:pBdr>
          <w:left w:val="single" w:color="15803D" w:sz="24" w:space="8"/>
        </w:pBdr>
        <w:spacing w:after="150" w:before="100"/>
        <w:ind w:left="200"/>
      </w:pPr>
      <w:r>
        <w:rPr>
          <w:b/>
          <w:bCs/>
          <w:color w:val="15803D"/>
        </w:rPr>
        <w:t xml:space="preserve">Test before publishing: </w:t>
      </w:r>
      <w:r>
        <w:t xml:space="preserve">Submit a real test and confirm it produces an opportunity identical in shape to a normal website RFQ.</w:t>
      </w:r>
    </w:p>
    <w:p>
      <w:pPr>
        <w:pBdr>
          <w:bottom w:val="single" w:color="CBD5E1" w:sz="6" w:space="4"/>
        </w:pBdr>
        <w:spacing w:after="200" w:before="200"/>
      </w:pPr>
      <w:r>
        <w:t xml:space="preserve"/>
      </w:r>
    </w:p>
    <w:p>
      <w:pPr>
        <w:pStyle w:val="Heading1"/>
        <w:spacing w:after="200" w:before="400"/>
      </w:pPr>
      <w:r>
        <w:t xml:space="preserve">3. End-to-End Test Checklist</w:t>
      </w:r>
    </w:p>
    <w:p>
      <w:pPr>
        <w:spacing w:after="120"/>
      </w:pPr>
      <w:r>
        <w:t xml:space="preserve">Run once the Status Sync workflow and backup form are built and published, using one throwaway test contact per scenario. Simulate BysonHub's webhook with a manual test payload (n8n's Manual Trigger + Set node, or a raw POST) for each status in turn.</w:t>
      </w:r>
    </w:p>
    <w:p>
      <w:pPr>
        <w:pStyle w:val="ListParagraph"/>
        <w:numPr>
          <w:ilvl w:val="0"/>
          <w:numId w:val="2"/>
        </w:numPr>
        <w:spacing w:after="60"/>
      </w:pPr>
      <w:r>
        <w:t xml:space="preserve">1. Confirm Automation #1 (existing, unaffected) still tags RFQ-New and creates the 4-hour task on a real/simulated New RFQ event.</w:t>
      </w:r>
    </w:p>
    <w:p>
      <w:pPr>
        <w:pStyle w:val="ListParagraph"/>
        <w:numPr>
          <w:ilvl w:val="0"/>
          <w:numId w:val="2"/>
        </w:numPr>
        <w:spacing w:after="60"/>
      </w:pPr>
      <w:r>
        <w:t xml:space="preserve">2. Send a simulated “Under Review” webhook. Confirm stage moves, tag swaps, and (with shortened Waits) both Day 1 + Day 2 internal reminders fire.</w:t>
      </w:r>
    </w:p>
    <w:p>
      <w:pPr>
        <w:pStyle w:val="ListParagraph"/>
        <w:numPr>
          <w:ilvl w:val="0"/>
          <w:numId w:val="2"/>
        </w:numPr>
        <w:spacing w:after="60"/>
      </w:pPr>
      <w:r>
        <w:t xml:space="preserve">3. Send “Quotation Sent”. Confirm Quote number/value sync, tag swap, and both Day 2 + Day 3 nudges fire in order.</w:t>
      </w:r>
    </w:p>
    <w:p>
      <w:pPr>
        <w:pStyle w:val="ListParagraph"/>
        <w:numPr>
          <w:ilvl w:val="0"/>
          <w:numId w:val="2"/>
        </w:numPr>
        <w:spacing w:after="60"/>
      </w:pPr>
      <w:r>
        <w:t xml:space="preserve">4. On a second contact, send “Quotation Sent” then “Negotiation” before the nudges finish. Confirm removing Quote-Sent actually halts the in-flight nudge/abandonment branch — this is the one dependency most likely to be wrong on first build.</w:t>
      </w:r>
    </w:p>
    <w:p>
      <w:pPr>
        <w:pStyle w:val="ListParagraph"/>
        <w:numPr>
          <w:ilvl w:val="0"/>
          <w:numId w:val="2"/>
        </w:numPr>
        <w:spacing w:after="60"/>
      </w:pPr>
      <w:r>
        <w:t xml:space="preserve">5. Send “Accepted” on that same contact. Confirm no further nudges arrive.</w:t>
      </w:r>
    </w:p>
    <w:p>
      <w:pPr>
        <w:pStyle w:val="ListParagraph"/>
        <w:numPr>
          <w:ilvl w:val="0"/>
          <w:numId w:val="2"/>
        </w:numPr>
        <w:spacing w:after="60"/>
      </w:pPr>
      <w:r>
        <w:t xml:space="preserve">6. On a third contact, send “Quotation Sent” and send nothing further (shortened waits). Confirm it auto-reaches Abandoned, tags Nurture-Abandoned, and no nudge fires after that point.</w:t>
      </w:r>
    </w:p>
    <w:p>
      <w:pPr>
        <w:pStyle w:val="ListParagraph"/>
        <w:numPr>
          <w:ilvl w:val="0"/>
          <w:numId w:val="2"/>
        </w:numPr>
        <w:spacing w:after="60"/>
      </w:pPr>
      <w:r>
        <w:t xml:space="preserve">7. Send “Completed” on a brand-new contact with no prior webhook (simulating Flow B). Confirm it creates the opportunity directly at Paid &amp; Won, not just update-and-fail.</w:t>
      </w:r>
    </w:p>
    <w:p>
      <w:pPr>
        <w:pStyle w:val="ListParagraph"/>
        <w:numPr>
          <w:ilvl w:val="0"/>
          <w:numId w:val="2"/>
        </w:numPr>
        <w:spacing w:after="60"/>
      </w:pPr>
      <w:r>
        <w:t xml:space="preserve">8. Send “Completed” on an existing RFQ-flow contact. Confirm it clears every prior tag and the Day 3/14/30 nurture fires on schedule.</w:t>
      </w:r>
    </w:p>
    <w:p>
      <w:pPr>
        <w:pStyle w:val="ListParagraph"/>
        <w:numPr>
          <w:ilvl w:val="0"/>
          <w:numId w:val="2"/>
        </w:numPr>
        <w:spacing w:after="60"/>
      </w:pPr>
      <w:r>
        <w:t xml:space="preserve">9. Submit the backup form and confirm it produces an opportunity identical in shape to a real webhook-driven RFQ.</w:t>
      </w:r>
    </w:p>
    <w:p>
      <w:pPr>
        <w:pStyle w:val="ListParagraph"/>
        <w:numPr>
          <w:ilvl w:val="0"/>
          <w:numId w:val="2"/>
        </w:numPr>
        <w:spacing w:after="60"/>
      </w:pPr>
      <w:r>
        <w:t xml:space="preserve">10. Restore every shortened Wait step to its real duration before leaving the workflow published.</w:t>
      </w:r>
    </w:p>
    <w:p>
      <w:pPr>
        <w:spacing w:after="120"/>
      </w:pPr>
      <w:r>
        <w:rPr>
          <w:i/>
          <w:iCs/>
          <w:color w:val="6B7280"/>
        </w:rPr>
        <w:t xml:space="preserve">Once all 10 checks pass, Milestone 1A's automation deliverables (§6 items #6–#12) are complete. Still outside this guide: BysonHub actually sending these webhooks in production (Nihar's build), the webhook URL itself being created in GHL and handed to Kumar to wire into Vercel where needed, and Milestone 1B's Google Ads steps (parked, flagged inline above where they'd hook 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2026-07-29T19:52:57.510Z</dcterms:created>
  <dcterms:modified xsi:type="dcterms:W3CDTF">2026-07-29T19:52:57.511Z</dcterms:modified>
</cp:coreProperties>
</file>

<file path=docProps/custom.xml><?xml version="1.0" encoding="utf-8"?>
<Properties xmlns="http://schemas.openxmlformats.org/officeDocument/2006/custom-properties" xmlns:vt="http://schemas.openxmlformats.org/officeDocument/2006/docPropsVTypes"/>
</file>