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gitju1y25ku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ASSESSMENT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xyn1izqpzl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22 – ASSESSMENT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mhv2kgt5t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Day 22 assessment evaluates the learner's ability to build a professional online presence, organize an AI portfolio, create client-ready samples, and prepare for acquiring their first AI client.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pnz3b93fpt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Assessment Structure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fgupl1v63q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A – Concept Assessment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15 Multiple Choice Questions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Topics Covered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Branding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Development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Trust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Positioning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Projects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Proposals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Client Strategy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Freelancing Basics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Reputation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gyi4uaquc6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B – Concept Understanding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the following: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Professional Presence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Positioning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Project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Proposal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Proof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708tzcdjuv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C – Practical Assessment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qdnbsfb386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1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or optimize a professional LinkedIn profile with an effective headline, About section, skills, and AI-focused positioning.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d01dzf3ddto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2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one-page AI portfolio showcasing selected projects, outcomes, and services using Canva, Gamma, or a personal website.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51netrb9m36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3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 one customized sample project for a real local business that demonstrates practical business value.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33ip1vti9k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Task 4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a professional first-client proposal with a clearly defined scope, deliverables, pricing, and communication plan.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8a1cevusbe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D – Reflection Questions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briefly: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Why is a portfolio more convincing than a list of skills?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should professional profiles remain completely truthful?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do sample projects help attract clients?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does trust influence buying decisions?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sn3v4yf5e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Passing Criteria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Minimum Score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70%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Learners should demonstrate the ability to establish a professional presence, present AI capabilities effectively, create client-ready assets, and prepare for real business opportunities.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