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t3nqkxzfpe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963h7obrv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hld0ils7c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23 – ASSESSMENT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jls4xira0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23 assessment evaluates the learner's ability to assess current capabilities, define a career direction, create a structured AI career roadmap, and develop a long-term learning strategy.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6w1y10dt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Structure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hjikatf1x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– Concept Assessment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Planning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Career Paths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Growth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Assessment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Roadmaps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Branding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Building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Strategy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Adaptability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zi1dms0bx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Roadmap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Inventory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Specialization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Direction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Reputation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xz0wa6ysp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 – Practical Assessment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0t7kr5u2b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inventory of your AI capabilities using outcome-based descriptions rather than tool names.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el1h9ta90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2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 primary AI career path and justify your decision based on your background, strengths, interests, and long-term goals.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xduzamxi8n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3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structured 6–12 month AI career roadmap including learning objectives, client or job targets, skill milestones, and measurable outcomes.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pkn148zu2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4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your roadmap professionally using Gamma or a structured document suitable for mentors, employers, or clients.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mxp355ne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should career planning remain flexible?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specialization improve long-term opportunities?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continuous learning essential in AI?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professional reputation influence career growth?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ag6mi98oy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Passing Criteria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evaluate their capabilities honestly, define a realistic career direction, prepare a practical AI roadmap, and establish a strategy for long-term professional development.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