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OUR DIVIDEND FOCUS STRATEGY</w:t>
      </w:r>
    </w:p>
    <w:p>
      <w:r>
        <w:t>Overview:</w:t>
        <w:br/>
        <w:t>A diversified strategy designed for long-term investors seeking steady growth.</w:t>
      </w:r>
    </w:p>
    <w:p>
      <w:r>
        <w:t>Performance:</w:t>
        <w:br/>
        <w:t>The portfolio returned 18% last year.</w:t>
      </w:r>
    </w:p>
    <w:p>
      <w:r>
        <w:t>Contact your advisor to learn more about how this strategy fits your portfolio.</w:t>
      </w:r>
    </w:p>
    <w:p>
      <w:r>
        <w:t>Past performance is not indicative of future results. All investments involve risk, including the possible loss of principal.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