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Verkaufssystem „Glyph für Kunden“</w:t>
      </w:r>
    </w:p>
    <w:p>
      <w:r>
        <w:rPr>
          <w:i/>
        </w:rPr>
        <w:t>Prozessablauf · Ablaufdiagramm · Arbeitsanweisung</w:t>
      </w:r>
    </w:p>
    <w:p>
      <w:r>
        <w:t>Stand 2026-10-03 · von der Anmeldung bis zum Abschluss · 19 % USt in allen Preisen enthalten</w:t>
      </w:r>
    </w:p>
    <w:p>
      <w:pPr>
        <w:pStyle w:val="Heading1"/>
      </w:pPr>
      <w:r>
        <w:t>1 · Prozessablauf der Kunden-Sitzung</w:t>
      </w:r>
    </w:p>
    <w:p>
      <w:pPr>
        <w:pStyle w:val="Heading2"/>
      </w:pPr>
      <w:r>
        <w:t>1.1 Zweck und Geltungsbereich</w:t>
      </w:r>
    </w:p>
    <w:p>
      <w:r>
        <w:t>Regelt den Ablauf einer bezahlten Glyph-Sitzung von der Anmeldung bis zum Abschluss einschließlich Abrechnung, Beleg und Löschung. Die Sitzung ist ein geschlossener Kreis mit genau einem Ausgang; der Kreis ist nicht endlos (Beenden · Fenster zu · 8 h · 1M).</w:t>
      </w:r>
    </w:p>
    <w:p>
      <w:pPr>
        <w:pStyle w:val="Heading2"/>
      </w:pPr>
      <w:r>
        <w:t>1.2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Schritt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ausführend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Regel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Anmeldung mit Kreditkarte / Apple Pay / Google Pay</w:t>
            </w:r>
          </w:p>
        </w:tc>
        <w:tc>
          <w:tcPr>
            <w:tcW w:type="dxa" w:w="2160"/>
          </w:tcPr>
          <w:p>
            <w:r>
              <w:t>Kunde + System</w:t>
            </w:r>
          </w:p>
        </w:tc>
        <w:tc>
          <w:tcPr>
            <w:tcW w:type="dxa" w:w="2160"/>
          </w:tcPr>
          <w:p>
            <w:r>
              <w:t>kein Konto, kein Passwort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Autorisierung 0,50 € (kostenlos)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sichert die Zahlung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Sitzung startet: 8 Stunden, Pausen egal; Slot 27B ⇄ API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Wechsel = kurzer Begrüßungstext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Arbeits-Zyklus: chatten, suchen, schreiben (Zähler)</w:t>
            </w:r>
          </w:p>
        </w:tc>
        <w:tc>
          <w:tcPr>
            <w:tcW w:type="dxa" w:w="2160"/>
          </w:tcPr>
          <w:p>
            <w:r>
              <w:t>Kunde</w:t>
            </w:r>
          </w:p>
        </w:tc>
        <w:tc>
          <w:tcPr>
            <w:tcW w:type="dxa" w:w="2160"/>
          </w:tcPr>
          <w:p>
            <w:r>
              <w:t>Kreis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Bei 2,00 € Verbrauch: Verlängerungshinweis (zwei Knöpfe)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nie mehr als 2,00 € ohne Klick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„Weiter — 2 €“ → zurück in den Arbeits-Zyklus</w:t>
            </w:r>
          </w:p>
        </w:tc>
        <w:tc>
          <w:tcPr>
            <w:tcW w:type="dxa" w:w="2160"/>
          </w:tcPr>
          <w:p>
            <w:r>
              <w:t>Kunde</w:t>
            </w:r>
          </w:p>
        </w:tc>
        <w:tc>
          <w:tcPr>
            <w:tcW w:type="dxa" w:w="2160"/>
          </w:tcPr>
          <w:p>
            <w:r>
              <w:t>der Kreis schließt sich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„Beenden“ → Abschluss; ebenso jederzeit: Fenster zu · 8 h · Kontextgrenze (meist 1M)</w:t>
            </w:r>
          </w:p>
        </w:tc>
        <w:tc>
          <w:tcPr>
            <w:tcW w:type="dxa" w:w="2160"/>
          </w:tcPr>
          <w:p>
            <w:r>
              <w:t>Kunde/System</w:t>
            </w:r>
          </w:p>
        </w:tc>
        <w:tc>
          <w:tcPr>
            <w:tcW w:type="dxa" w:w="2160"/>
          </w:tcPr>
          <w:p>
            <w:r>
              <w:t>ein einziger Ausgang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Abschluss: Verbrauch &gt; 0? Nein → 0,00 €, kein Einzug, kein Ticket (die .md gibt es trotzdem)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Autorisierung wird freigegeben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Ja → Abrechnung: mind. 0,50 € / Verbrauch (2,00 € je 512k) → Ticket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belege/ + belege.csv (10 Jahre)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Zusammenfassung .md + Warnhinweis (Download möglich)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beim Kunden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Löschen: Gespräch, Zwischenstände, Fensterinhalt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unwiderruflich</w:t>
            </w:r>
          </w:p>
        </w:tc>
      </w:tr>
    </w:tbl>
    <w:p/>
    <w:p>
      <w:pPr>
        <w:pStyle w:val="Heading2"/>
      </w:pPr>
      <w:r>
        <w:t>1.3 Der Verlängerungshinweis (2 €)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Knopf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4320"/>
          </w:tcPr>
          <w:p>
            <w:r>
              <w:t>Weiter — 2 €</w:t>
            </w:r>
          </w:p>
        </w:tc>
        <w:tc>
          <w:tcPr>
            <w:tcW w:type="dxa" w:w="4320"/>
          </w:tcPr>
          <w:p>
            <w:r>
              <w:t>neue 2-€-Stufe; der Kreis schließt sich: weiterarbeiten</w:t>
            </w:r>
          </w:p>
        </w:tc>
      </w:tr>
      <w:tr>
        <w:tc>
          <w:tcPr>
            <w:tcW w:type="dxa" w:w="4320"/>
          </w:tcPr>
          <w:p>
            <w:r>
              <w:t>Zusammenfassen</w:t>
            </w:r>
          </w:p>
        </w:tc>
        <w:tc>
          <w:tcPr>
            <w:tcW w:type="dxa" w:w="4320"/>
          </w:tcPr>
          <w:p>
            <w:r>
              <w:t>die .md entsteht — als Abschluss oder als Anfang einer neuen Aufgabe (2 €)</w:t>
            </w:r>
          </w:p>
        </w:tc>
      </w:tr>
    </w:tbl>
    <w:p/>
    <w:p>
      <w:r>
        <w:t>Ob die Sitzung bei 2 € oder mehr endet, entscheidet der Kunde. Nie mehr als 2,00 € ohne Klick.</w:t>
      </w:r>
    </w:p>
    <w:p>
      <w:pPr>
        <w:pStyle w:val="Heading2"/>
      </w:pPr>
      <w:r>
        <w:t>1.4 Abrechnungsregeln (0 € bis Verbrauch)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Betrag / Folge</w:t>
            </w:r>
          </w:p>
        </w:tc>
      </w:tr>
      <w:tr>
        <w:tc>
          <w:tcPr>
            <w:tcW w:type="dxa" w:w="4320"/>
          </w:tcPr>
          <w:p>
            <w:r>
              <w:t>0 Token verbraucht</w:t>
            </w:r>
          </w:p>
        </w:tc>
        <w:tc>
          <w:tcPr>
            <w:tcW w:type="dxa" w:w="4320"/>
          </w:tcPr>
          <w:p>
            <w:r>
              <w:t>0,00 € · kein Einzug · kein Ticket (die .md gibt es trotzdem)</w:t>
            </w:r>
          </w:p>
        </w:tc>
      </w:tr>
      <w:tr>
        <w:tc>
          <w:tcPr>
            <w:tcW w:type="dxa" w:w="4320"/>
          </w:tcPr>
          <w:p>
            <w:r>
              <w:t>Verbrauch unter 0,50 €</w:t>
            </w:r>
          </w:p>
        </w:tc>
        <w:tc>
          <w:tcPr>
            <w:tcW w:type="dxa" w:w="4320"/>
          </w:tcPr>
          <w:p>
            <w:r>
              <w:t>0,50 € (Mindestbetrag, einmal je Sitzung)</w:t>
            </w:r>
          </w:p>
        </w:tc>
      </w:tr>
      <w:tr>
        <w:tc>
          <w:tcPr>
            <w:tcW w:type="dxa" w:w="4320"/>
          </w:tcPr>
          <w:p>
            <w:r>
              <w:t>Verbrauchspreis</w:t>
            </w:r>
          </w:p>
        </w:tc>
        <w:tc>
          <w:tcPr>
            <w:tcW w:type="dxa" w:w="4320"/>
          </w:tcPr>
          <w:p>
            <w:r>
              <w:t>2,00 € je 512k Token (≈ 3,91 € je 1 Mio.)</w:t>
            </w:r>
          </w:p>
        </w:tc>
      </w:tr>
    </w:tbl>
    <w:p/>
    <w:p>
      <w:pPr>
        <w:pStyle w:val="Heading2"/>
      </w:pPr>
      <w:r>
        <w:t>1.5 Ausnahmen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Handhabung</w:t>
            </w:r>
          </w:p>
        </w:tc>
      </w:tr>
      <w:tr>
        <w:tc>
          <w:tcPr>
            <w:tcW w:type="dxa" w:w="4320"/>
          </w:tcPr>
          <w:p>
            <w:r>
              <w:t>Zahlung abgelehnt</w:t>
            </w:r>
          </w:p>
        </w:tc>
        <w:tc>
          <w:tcPr>
            <w:tcW w:type="dxa" w:w="4320"/>
          </w:tcPr>
          <w:p>
            <w:r>
              <w:t>Sitzung startet nicht bzw. endet geordnet; kurze Meldung</w:t>
            </w:r>
          </w:p>
        </w:tc>
      </w:tr>
      <w:tr>
        <w:tc>
          <w:tcPr>
            <w:tcW w:type="dxa" w:w="4320"/>
          </w:tcPr>
          <w:p>
            <w:r>
              <w:t>Hinweis ohne Zahlung</w:t>
            </w:r>
          </w:p>
        </w:tc>
        <w:tc>
          <w:tcPr>
            <w:tcW w:type="dxa" w:w="4320"/>
          </w:tcPr>
          <w:p>
            <w:r>
              <w:t>Sitzung endet geordnet (Abschluss → Ausgaben → Löschen)</w:t>
            </w:r>
          </w:p>
        </w:tc>
      </w:tr>
      <w:tr>
        <w:tc>
          <w:tcPr>
            <w:tcW w:type="dxa" w:w="4320"/>
          </w:tcPr>
          <w:p>
            <w:r>
              <w:t>Doppelpreisung behauptet</w:t>
            </w:r>
          </w:p>
        </w:tc>
        <w:tc>
          <w:tcPr>
            <w:tcW w:type="dxa" w:w="4320"/>
          </w:tcPr>
          <w:p>
            <w:r>
              <w:t>belege.csv gegenprüfen; Erstattung über Anbieter, Beleg vermerken</w:t>
            </w:r>
          </w:p>
        </w:tc>
      </w:tr>
      <w:tr>
        <w:tc>
          <w:tcPr>
            <w:tcW w:type="dxa" w:w="4320"/>
          </w:tcPr>
          <w:p>
            <w:r>
              <w:t>Absturz beim Kunden</w:t>
            </w:r>
          </w:p>
        </w:tc>
        <w:tc>
          <w:tcPr>
            <w:tcW w:type="dxa" w:w="4320"/>
          </w:tcPr>
          <w:p>
            <w:r>
              <w:t>8-Stunden-Grenze beendet; Inhalt war nur im Fenster → verloren</w:t>
            </w:r>
          </w:p>
        </w:tc>
      </w:tr>
    </w:tbl>
    <w:p/>
    <w:p>
      <w:pPr>
        <w:pStyle w:val="Heading1"/>
      </w:pPr>
      <w:r>
        <w:t>2 · Ablaufdiagramm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244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ufdiagramm-verkau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24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Abb. 1: Geschlossener Kreis (nicht endlos) mit Verlängerungshinweis, Abschluss mit 0-€-Entscheid, Ausgaben Ticket (bei Verbrauch) und Zusammenfassung.</w:t>
      </w:r>
    </w:p>
    <w:p>
      <w:pPr>
        <w:pStyle w:val="Heading1"/>
      </w:pPr>
      <w:r>
        <w:t>3 · Arbeitsanweisung: Betrieb des Verkaufssystems</w:t>
      </w:r>
    </w:p>
    <w:p>
      <w:pPr>
        <w:pStyle w:val="Heading2"/>
      </w:pPr>
      <w:r>
        <w:t>3.1 Zweck und Verantwortung</w:t>
      </w:r>
    </w:p>
    <w:p>
      <w:r>
        <w:t>Sichert den störungsfreien und rechtssicheren Betrieb des bezahlten Kundenzugangs sowie die vorschriftsmäßige Belegführung. Verantwortlich: Betreiber · Vertretung: benannte Vertrauensperson.</w:t>
      </w:r>
    </w:p>
    <w:p>
      <w:pPr>
        <w:pStyle w:val="Heading2"/>
      </w:pPr>
      <w:r>
        <w:t>3.2 Tätigkeiten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Rhythmus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Tätigkeit</w:t>
            </w:r>
          </w:p>
        </w:tc>
      </w:tr>
      <w:tr>
        <w:tc>
          <w:tcPr>
            <w:tcW w:type="dxa" w:w="4320"/>
          </w:tcPr>
          <w:p>
            <w:r>
              <w:t>Bei Bedarf</w:t>
            </w:r>
          </w:p>
        </w:tc>
        <w:tc>
          <w:tcPr>
            <w:tcW w:type="dxa" w:w="4320"/>
          </w:tcPr>
          <w:p>
            <w:r>
              <w:t>Preise/Schwellen pflegen (nur mit Änderungseintrag im Konzept-Blatt)</w:t>
            </w:r>
          </w:p>
        </w:tc>
      </w:tr>
      <w:tr>
        <w:tc>
          <w:tcPr>
            <w:tcW w:type="dxa" w:w="4320"/>
          </w:tcPr>
          <w:p>
            <w:r>
              <w:t>Monatlich</w:t>
            </w:r>
          </w:p>
        </w:tc>
        <w:tc>
          <w:tcPr>
            <w:tcW w:type="dxa" w:w="4320"/>
          </w:tcPr>
          <w:p>
            <w:r>
              <w:t>belege.csv gegen Zahlungsanbieter-Abrechnung abgleichen (3 Minuten)</w:t>
            </w:r>
          </w:p>
        </w:tc>
      </w:tr>
      <w:tr>
        <w:tc>
          <w:tcPr>
            <w:tcW w:type="dxa" w:w="4320"/>
          </w:tcPr>
          <w:p>
            <w:r>
              <w:t>Quartalsweise</w:t>
            </w:r>
          </w:p>
        </w:tc>
        <w:tc>
          <w:tcPr>
            <w:tcW w:type="dxa" w:w="4320"/>
          </w:tcPr>
          <w:p>
            <w:r>
              <w:t>Auszug belege.csv an den Steuerberater</w:t>
            </w:r>
          </w:p>
        </w:tc>
      </w:tr>
      <w:tr>
        <w:tc>
          <w:tcPr>
            <w:tcW w:type="dxa" w:w="4320"/>
          </w:tcPr>
          <w:p>
            <w:r>
              <w:t>Jährlich</w:t>
            </w:r>
          </w:p>
        </w:tc>
        <w:tc>
          <w:tcPr>
            <w:tcW w:type="dxa" w:w="4320"/>
          </w:tcPr>
          <w:p>
            <w:r>
              <w:t>Belegordner archivieren (bleibt gespeichert: 10 Jahre)</w:t>
            </w:r>
          </w:p>
        </w:tc>
      </w:tr>
    </w:tbl>
    <w:p/>
    <w:p>
      <w:pPr>
        <w:pStyle w:val="Heading2"/>
      </w:pPr>
      <w:r>
        <w:t>3.3 Arbeitsschritte</w:t>
      </w:r>
    </w:p>
    <w:p>
      <w:pPr>
        <w:pStyle w:val="ListNumber"/>
      </w:pPr>
      <w:r>
        <w:t>Support: nach Zahlungsbeleg/Ticket fragen (Datum, Betrag, Token).</w:t>
      </w:r>
    </w:p>
    <w:p>
      <w:pPr>
        <w:pStyle w:val="ListNumber"/>
      </w:pPr>
      <w:r>
        <w:t>Betrag in belege.csv gegenprüfen (0-€-Sitzungen haben kein Ticket).</w:t>
      </w:r>
    </w:p>
    <w:p>
      <w:pPr>
        <w:pStyle w:val="ListNumber"/>
      </w:pPr>
      <w:r>
        <w:t>Sachverhalt klären ohne Inhalte einzusehen (sie sind gelöscht).</w:t>
      </w:r>
    </w:p>
    <w:p>
      <w:pPr>
        <w:pStyle w:val="ListNumber"/>
      </w:pPr>
      <w:r>
        <w:t>Bei Abweichung: Erstattung über den Zahlungsanbieter, Beleg-Zeile mit „erstattet“ vermerken.</w:t>
      </w:r>
    </w:p>
    <w:p>
      <w:pPr>
        <w:pStyle w:val="Heading2"/>
      </w:pPr>
      <w:r>
        <w:t>3.4 Was niemals getan wird</w:t>
      </w:r>
    </w:p>
    <w:p>
      <w:pPr>
        <w:pStyle w:val="ListBullet"/>
      </w:pPr>
      <w:r>
        <w:t>Nie in Sitzungsinhalte schauen oder sie wiederherstellen.</w:t>
      </w:r>
    </w:p>
    <w:p>
      <w:pPr>
        <w:pStyle w:val="ListBullet"/>
      </w:pPr>
      <w:r>
        <w:t>Nie ohne Beleg erstatten.</w:t>
      </w:r>
    </w:p>
    <w:p>
      <w:pPr>
        <w:pStyle w:val="ListBullet"/>
      </w:pPr>
      <w:r>
        <w:t>Nie Preise ohne Änderungseintrag ändern.</w:t>
      </w:r>
    </w:p>
    <w:p>
      <w:pPr>
        <w:pStyle w:val="Heading2"/>
      </w:pPr>
      <w:r>
        <w:t>3.5 Störungen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Störung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Handhabung</w:t>
            </w:r>
          </w:p>
        </w:tc>
      </w:tr>
      <w:tr>
        <w:tc>
          <w:tcPr>
            <w:tcW w:type="dxa" w:w="4320"/>
          </w:tcPr>
          <w:p>
            <w:r>
              <w:t>Kunde: „wurde doppelt bezahlt“</w:t>
            </w:r>
          </w:p>
        </w:tc>
        <w:tc>
          <w:tcPr>
            <w:tcW w:type="dxa" w:w="4320"/>
          </w:tcPr>
          <w:p>
            <w:r>
              <w:t>belege.csv prüfen → Erstattung über Anbieter</w:t>
            </w:r>
          </w:p>
        </w:tc>
      </w:tr>
      <w:tr>
        <w:tc>
          <w:tcPr>
            <w:tcW w:type="dxa" w:w="4320"/>
          </w:tcPr>
          <w:p>
            <w:r>
              <w:t>Zahlung dauerhaft abgelehnt</w:t>
            </w:r>
          </w:p>
        </w:tc>
        <w:tc>
          <w:tcPr>
            <w:tcW w:type="dxa" w:w="4320"/>
          </w:tcPr>
          <w:p>
            <w:r>
              <w:t>Anbieter-Status prüfen; anderes Zahlungsmittel anbieten</w:t>
            </w:r>
          </w:p>
        </w:tc>
      </w:tr>
      <w:tr>
        <w:tc>
          <w:tcPr>
            <w:tcW w:type="dxa" w:w="4320"/>
          </w:tcPr>
          <w:p>
            <w:r>
              <w:t>Beleg-Ablage schreibt nicht</w:t>
            </w:r>
          </w:p>
        </w:tc>
        <w:tc>
          <w:tcPr>
            <w:tcW w:type="dxa" w:w="4320"/>
          </w:tcPr>
          <w:p>
            <w:r>
              <w:t>Rechte prüfen; Tickets des Tages nachtragen</w:t>
            </w:r>
          </w:p>
        </w:tc>
      </w:tr>
      <w:tr>
        <w:tc>
          <w:tcPr>
            <w:tcW w:type="dxa" w:w="4320"/>
          </w:tcPr>
          <w:p>
            <w:r>
              <w:t>Chargeback</w:t>
            </w:r>
          </w:p>
        </w:tc>
        <w:tc>
          <w:tcPr>
            <w:tcW w:type="dxa" w:w="4320"/>
          </w:tcPr>
          <w:p>
            <w:r>
              <w:t>Anbieter-Ablauf folgen; Betrag in belege.csv vermerken</w:t>
            </w:r>
          </w:p>
        </w:tc>
      </w:tr>
    </w:tbl>
    <w:p/>
    <w:p>
      <w:pPr>
        <w:pStyle w:val="Heading2"/>
      </w:pPr>
      <w:r>
        <w:t>3.6 Rechtliche Hinweise</w:t>
      </w:r>
    </w:p>
    <w:p>
      <w:r>
        <w:t>Kleinbetragsbeleg (bis 250 €) genügt. 10 Jahre Aufbewahrung (§147 AO / GoBD) durch die automatische Beleg-Ablage. Preise inkl. 19 % USt.</w:t>
      </w:r>
    </w:p>
    <w:p>
      <w:pPr>
        <w:pStyle w:val="Heading2"/>
      </w:pPr>
      <w:r>
        <w:t>3.7 Revisionsstand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Änderung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880"/>
          </w:tcPr>
          <w:p>
            <w:r>
              <w:t>2026-10-03</w:t>
            </w:r>
          </w:p>
        </w:tc>
        <w:tc>
          <w:tcPr>
            <w:tcW w:type="dxa" w:w="2880"/>
          </w:tcPr>
          <w:p>
            <w:r>
              <w:t>Erstfassung · Abschluss statt „Zieh leine“, 0-€-Entscheid sichtbar, Kreis nicht endlos beschriftet</w:t>
            </w:r>
          </w:p>
        </w:tc>
        <w:tc>
          <w:tcPr>
            <w:tcW w:type="dxa" w:w="2880"/>
          </w:tcPr>
          <w:p>
            <w:r>
              <w:t>A. Hubert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