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3145" w14:paraId="04A10E06" w14:textId="77777777">
        <w:tblPrEx>
          <w:tblCellMar>
            <w:top w:w="0" w:type="dxa"/>
            <w:bottom w:w="0" w:type="dxa"/>
          </w:tblCellMar>
        </w:tblPrEx>
        <w:trPr>
          <w:trHeight w:hRule="exact" w:val="12960"/>
        </w:trPr>
        <w:tc>
          <w:tcPr>
            <w:tcW w:w="9360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EAB4F" w14:textId="77777777" w:rsidR="00183145" w:rsidRDefault="00183145">
            <w:pPr>
              <w:shd w:val="clear" w:color="auto" w:fill="000000"/>
              <w:spacing w:after="2400"/>
            </w:pPr>
          </w:p>
          <w:p w14:paraId="0F1EA74E" w14:textId="77777777" w:rsidR="00183145" w:rsidRDefault="00000000">
            <w:pPr>
              <w:shd w:val="clear" w:color="auto" w:fill="000000"/>
              <w:spacing w:after="600"/>
              <w:jc w:val="center"/>
            </w:pPr>
            <w:r>
              <w:rPr>
                <w:noProof/>
              </w:rPr>
              <w:drawing>
                <wp:inline distT="0" distB="0" distL="0" distR="0" wp14:anchorId="4BB7D486" wp14:editId="6661004E">
                  <wp:extent cx="1714500" cy="1895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51841" w14:textId="77777777" w:rsidR="00183145" w:rsidRDefault="00183145">
            <w:pPr>
              <w:shd w:val="clear" w:color="auto" w:fill="000000"/>
              <w:spacing w:after="1200"/>
            </w:pPr>
          </w:p>
          <w:p w14:paraId="2C8042F1" w14:textId="77777777" w:rsidR="00183145" w:rsidRDefault="00000000">
            <w:pPr>
              <w:pBdr>
                <w:bottom w:val="single" w:sz="6" w:space="4" w:color="00E0FF"/>
              </w:pBdr>
              <w:shd w:val="clear" w:color="auto" w:fill="0000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Strategic Analysis: Competitive Landscape</w:t>
            </w:r>
          </w:p>
          <w:p w14:paraId="4F94DC69" w14:textId="77777777" w:rsidR="00183145" w:rsidRDefault="00000000">
            <w:pPr>
              <w:shd w:val="clear" w:color="auto" w:fill="000000"/>
              <w:spacing w:before="160"/>
              <w:jc w:val="center"/>
            </w:pPr>
            <w:r>
              <w:rPr>
                <w:color w:val="94A3B8"/>
              </w:rPr>
              <w:t>Autonomous Agents</w:t>
            </w:r>
          </w:p>
          <w:p w14:paraId="1CD87F37" w14:textId="77777777" w:rsidR="00183145" w:rsidRDefault="00183145">
            <w:pPr>
              <w:shd w:val="clear" w:color="auto" w:fill="000000"/>
              <w:spacing w:after="2400"/>
            </w:pPr>
          </w:p>
          <w:p w14:paraId="38951701" w14:textId="77777777" w:rsidR="00183145" w:rsidRDefault="00000000">
            <w:pPr>
              <w:shd w:val="clear" w:color="auto" w:fill="000000"/>
              <w:spacing w:after="60"/>
              <w:jc w:val="center"/>
            </w:pPr>
            <w:r>
              <w:rPr>
                <w:color w:val="94A3B8"/>
                <w:sz w:val="16"/>
                <w:szCs w:val="16"/>
              </w:rPr>
              <w:t>CONFIDENTIAL</w:t>
            </w:r>
          </w:p>
          <w:p w14:paraId="4AA059C7" w14:textId="7E90A064" w:rsidR="00183145" w:rsidRDefault="00000000">
            <w:pPr>
              <w:shd w:val="clear" w:color="auto" w:fill="000000"/>
              <w:jc w:val="center"/>
            </w:pPr>
            <w:proofErr w:type="spellStart"/>
            <w:r>
              <w:rPr>
                <w:color w:val="475569"/>
                <w:sz w:val="16"/>
                <w:szCs w:val="16"/>
              </w:rPr>
              <w:t>Glyphor</w:t>
            </w:r>
            <w:proofErr w:type="spellEnd"/>
            <w:r w:rsidR="006F23A8">
              <w:rPr>
                <w:color w:val="475569"/>
                <w:sz w:val="16"/>
                <w:szCs w:val="16"/>
              </w:rPr>
              <w:t>,</w:t>
            </w:r>
            <w:r>
              <w:rPr>
                <w:color w:val="475569"/>
                <w:sz w:val="16"/>
                <w:szCs w:val="16"/>
              </w:rPr>
              <w:t xml:space="preserve"> Inc</w:t>
            </w:r>
            <w:r w:rsidR="006F23A8">
              <w:rPr>
                <w:color w:val="475569"/>
                <w:sz w:val="16"/>
                <w:szCs w:val="16"/>
              </w:rPr>
              <w:t>.</w:t>
            </w:r>
          </w:p>
        </w:tc>
      </w:tr>
    </w:tbl>
    <w:p w14:paraId="31A3B0C8" w14:textId="77777777" w:rsidR="00183145" w:rsidRDefault="00000000">
      <w:pPr>
        <w:shd w:val="clear" w:color="auto" w:fill="000000"/>
      </w:pPr>
      <w:r>
        <w:br w:type="page"/>
      </w:r>
    </w:p>
    <w:p w14:paraId="6FC1AFC3" w14:textId="77777777" w:rsidR="00183145" w:rsidRDefault="00183145">
      <w:pPr>
        <w:sectPr w:rsidR="00183145">
          <w:pgSz w:w="12240" w:h="15840"/>
          <w:pgMar w:top="720" w:right="1440" w:bottom="720" w:left="1440" w:header="708" w:footer="708" w:gutter="0"/>
          <w:cols w:space="720"/>
          <w:docGrid w:linePitch="360"/>
        </w:sectPr>
      </w:pPr>
    </w:p>
    <w:p w14:paraId="7480B423" w14:textId="7E80D529" w:rsidR="00183145" w:rsidRDefault="00000000">
      <w:pPr>
        <w:pStyle w:val="Heading1"/>
        <w:shd w:val="clear" w:color="auto" w:fill="FFFFFF"/>
      </w:pPr>
      <w:r w:rsidRPr="006F23A8">
        <w:rPr>
          <w:rFonts w:ascii="Agency" w:hAnsi="Agency"/>
        </w:rPr>
        <w:lastRenderedPageBreak/>
        <w:t>Section</w:t>
      </w:r>
      <w:r>
        <w:t xml:space="preserve"> Heading</w:t>
      </w:r>
    </w:p>
    <w:p w14:paraId="088B9CED" w14:textId="77777777" w:rsidR="00183145" w:rsidRDefault="00183145">
      <w:pPr>
        <w:pBdr>
          <w:bottom w:val="single" w:sz="4" w:space="4" w:color="00E0FF"/>
        </w:pBdr>
        <w:shd w:val="clear" w:color="auto" w:fill="FFFFFF"/>
        <w:spacing w:after="280"/>
      </w:pPr>
    </w:p>
    <w:p w14:paraId="6F0FED76" w14:textId="77777777" w:rsidR="00183145" w:rsidRDefault="00000000">
      <w:pPr>
        <w:shd w:val="clear" w:color="auto" w:fill="FFFFFF"/>
        <w:spacing w:after="220" w:line="288" w:lineRule="auto"/>
      </w:pPr>
      <w:r>
        <w:t>This founder-grade strategy report analyzes the competitive landscape for Glyphor, focusing on its dual-engine ecosystem: Glyphor Fuse (Autonomous Development Teams/ADT) and Glyphor Pulse (AI Video/Creative). As of early 2026, the autonomous AI agent market is experiencing explosive growth—projected to reach...</w:t>
      </w:r>
    </w:p>
    <w:p w14:paraId="5115BF01" w14:textId="77777777" w:rsidR="00183145" w:rsidRDefault="00000000">
      <w:pPr>
        <w:shd w:val="clear" w:color="auto" w:fill="FFFFFF"/>
        <w:spacing w:after="320" w:line="288" w:lineRule="auto"/>
      </w:pPr>
      <w:r>
        <w:t>The 'Cursor vs. Devin Paradigm': The software engineering market is fundamentally bifurcated into continuous co-editing (Cursor) and task delegation (Devin). Glyphor ADT aligns with the delegation model. Therefore,...</w:t>
      </w:r>
    </w:p>
    <w:p w14:paraId="4A4D5C02" w14:textId="77777777" w:rsidR="00183145" w:rsidRDefault="00000000">
      <w:pPr>
        <w:pStyle w:val="Heading2"/>
        <w:shd w:val="clear" w:color="auto" w:fill="FFFFFF"/>
      </w:pPr>
      <w:r>
        <w:t>Cross-Framework Insight</w:t>
      </w:r>
    </w:p>
    <w:p w14:paraId="14CF9FFB" w14:textId="77777777" w:rsidR="00183145" w:rsidRDefault="00000000">
      <w:pPr>
        <w:shd w:val="clear" w:color="auto" w:fill="FFFFFF"/>
        <w:spacing w:after="220" w:line="288" w:lineRule="auto"/>
      </w:pPr>
      <w:r>
        <w:t>Cross-Framework Insight body text. Specific, evidenced, grounded.</w:t>
      </w:r>
    </w:p>
    <w:p w14:paraId="7C391F32" w14:textId="77777777" w:rsidR="00183145" w:rsidRDefault="00183145">
      <w:pPr>
        <w:shd w:val="clear" w:color="auto" w:fill="FFFFFF"/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3145" w14:paraId="509B74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0E0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66EB827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 xml:space="preserve">KEY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FINDING  </w:t>
            </w:r>
            <w:r>
              <w:rPr>
                <w:color w:val="444444"/>
                <w:sz w:val="20"/>
                <w:szCs w:val="20"/>
              </w:rPr>
              <w:t>Critical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information or decision point. One clear, direct statement.</w:t>
            </w:r>
          </w:p>
        </w:tc>
      </w:tr>
    </w:tbl>
    <w:p w14:paraId="76D9E520" w14:textId="77777777" w:rsidR="00183145" w:rsidRDefault="00183145">
      <w:pPr>
        <w:shd w:val="clear" w:color="auto" w:fill="FFFFFF"/>
        <w:spacing w:after="320"/>
      </w:pPr>
    </w:p>
    <w:p w14:paraId="2037E980" w14:textId="77777777" w:rsidR="00183145" w:rsidRDefault="00000000">
      <w:pPr>
        <w:pStyle w:val="Heading2"/>
        <w:shd w:val="clear" w:color="auto" w:fill="FFFFFF"/>
      </w:pPr>
      <w:r>
        <w:t>Data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1"/>
        <w:gridCol w:w="2053"/>
        <w:gridCol w:w="2053"/>
        <w:gridCol w:w="2053"/>
      </w:tblGrid>
      <w:tr w:rsidR="00183145" w14:paraId="0A861E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E0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058422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4" w:space="0" w:color="00E0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AABB69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4" w:space="0" w:color="00E0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E46152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>Threshold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4" w:space="0" w:color="00E0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7646C7" w14:textId="77777777" w:rsidR="00183145" w:rsidRDefault="00000000">
            <w:pPr>
              <w:shd w:val="clear" w:color="auto" w:fill="FFFFFF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183145" w14:paraId="049912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579401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CMO Performance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D5D0CA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0.60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B7BAD6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0.65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877B7C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⚠ Below</w:t>
            </w:r>
          </w:p>
        </w:tc>
      </w:tr>
      <w:tr w:rsidR="00183145" w14:paraId="3F3B57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6492EC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Success Rate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6551D5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74.6%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013A02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85%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1B5290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⚠ Below</w:t>
            </w:r>
          </w:p>
        </w:tc>
      </w:tr>
      <w:tr w:rsidR="00183145" w14:paraId="338A8B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978BDB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CLO Performance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DD34A9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0.78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3A2B02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0.65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90D00F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✓ Pass</w:t>
            </w:r>
          </w:p>
        </w:tc>
      </w:tr>
      <w:tr w:rsidR="00183145" w14:paraId="5B2A39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0CA16A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Nexus Completion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993BD2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88.9%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98B8BE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80%</w:t>
            </w:r>
          </w:p>
        </w:tc>
        <w:tc>
          <w:tcPr>
            <w:tcW w:w="2053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F3EF25" w14:textId="77777777" w:rsidR="00183145" w:rsidRDefault="00000000">
            <w:pPr>
              <w:shd w:val="clear" w:color="auto" w:fill="FFFFFF"/>
            </w:pPr>
            <w:r>
              <w:rPr>
                <w:sz w:val="20"/>
                <w:szCs w:val="20"/>
              </w:rPr>
              <w:t>✓ Pass</w:t>
            </w:r>
          </w:p>
        </w:tc>
      </w:tr>
    </w:tbl>
    <w:p w14:paraId="7DDABDFF" w14:textId="77777777" w:rsidR="008973A6" w:rsidRDefault="008973A6"/>
    <w:sectPr w:rsidR="008973A6">
      <w:headerReference w:type="default" r:id="rId8"/>
      <w:footerReference w:type="default" r:id="rId9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DAE44" w14:textId="77777777" w:rsidR="008973A6" w:rsidRDefault="008973A6">
      <w:r>
        <w:separator/>
      </w:r>
    </w:p>
  </w:endnote>
  <w:endnote w:type="continuationSeparator" w:id="0">
    <w:p w14:paraId="75EAF7EC" w14:textId="77777777" w:rsidR="008973A6" w:rsidRDefault="0089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">
    <w:panose1 w:val="00000000000000000000"/>
    <w:charset w:val="00"/>
    <w:family w:val="auto"/>
    <w:pitch w:val="variable"/>
    <w:sig w:usb0="80000067" w:usb1="0000000A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252B5" w14:textId="217AC97E" w:rsidR="00183145" w:rsidRDefault="00000000">
    <w:pPr>
      <w:pBdr>
        <w:top w:val="single" w:sz="1" w:space="4" w:color="DDDDDD"/>
      </w:pBdr>
      <w:shd w:val="clear" w:color="auto" w:fill="FFFFFF"/>
      <w:tabs>
        <w:tab w:val="right" w:pos="9026"/>
      </w:tabs>
      <w:spacing w:before="80" w:after="80"/>
    </w:pPr>
    <w:proofErr w:type="spellStart"/>
    <w:r>
      <w:rPr>
        <w:color w:val="777777"/>
        <w:sz w:val="16"/>
        <w:szCs w:val="16"/>
      </w:rPr>
      <w:t>Glyphor</w:t>
    </w:r>
    <w:proofErr w:type="spellEnd"/>
    <w:r>
      <w:rPr>
        <w:color w:val="777777"/>
        <w:sz w:val="16"/>
        <w:szCs w:val="16"/>
      </w:rPr>
      <w:t>, Inc.</w:t>
    </w:r>
    <w:r>
      <w:rPr>
        <w:sz w:val="16"/>
        <w:szCs w:val="16"/>
      </w:rPr>
      <w:tab/>
    </w:r>
    <w:r>
      <w:rPr>
        <w:color w:val="777777"/>
        <w:sz w:val="16"/>
        <w:szCs w:val="16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15918" w14:textId="77777777" w:rsidR="008973A6" w:rsidRDefault="008973A6">
      <w:r>
        <w:separator/>
      </w:r>
    </w:p>
  </w:footnote>
  <w:footnote w:type="continuationSeparator" w:id="0">
    <w:p w14:paraId="3F6CEF47" w14:textId="77777777" w:rsidR="008973A6" w:rsidRDefault="00897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74BB9" w14:textId="4B098FA9" w:rsidR="00183145" w:rsidRDefault="006F23A8">
    <w:pPr>
      <w:pBdr>
        <w:bottom w:val="single" w:sz="1" w:space="4" w:color="DDDDDD"/>
      </w:pBdr>
      <w:shd w:val="clear" w:color="auto" w:fill="FFFFFF"/>
      <w:tabs>
        <w:tab w:val="right" w:pos="9026"/>
      </w:tabs>
      <w:spacing w:before="80" w:after="80"/>
    </w:pPr>
    <w:proofErr w:type="spellStart"/>
    <w:r w:rsidRPr="006F23A8">
      <w:rPr>
        <w:rFonts w:ascii="Agency" w:hAnsi="Agency"/>
        <w:b/>
        <w:bCs/>
        <w:sz w:val="18"/>
        <w:szCs w:val="18"/>
      </w:rPr>
      <w:t>glyphor</w:t>
    </w:r>
    <w:proofErr w:type="spellEnd"/>
    <w:r w:rsidRPr="006F23A8">
      <w:rPr>
        <w:rFonts w:ascii="Agency" w:hAnsi="Agency"/>
        <w:color w:val="777777"/>
        <w:sz w:val="18"/>
        <w:szCs w:val="18"/>
      </w:rPr>
      <w:t xml:space="preserve"> </w:t>
    </w:r>
    <w:r>
      <w:rPr>
        <w:color w:val="777777"/>
        <w:sz w:val="16"/>
        <w:szCs w:val="16"/>
      </w:rPr>
      <w:t>| REPORT</w:t>
    </w:r>
    <w:r w:rsidR="00000000">
      <w:rPr>
        <w:sz w:val="16"/>
        <w:szCs w:val="16"/>
      </w:rPr>
      <w:tab/>
    </w:r>
    <w:r w:rsidR="00000000">
      <w:rPr>
        <w:color w:val="777777"/>
        <w:sz w:val="16"/>
        <w:szCs w:val="16"/>
      </w:rPr>
      <w:fldChar w:fldCharType="begin"/>
    </w:r>
    <w:r w:rsidR="00000000">
      <w:rPr>
        <w:color w:val="777777"/>
        <w:sz w:val="16"/>
        <w:szCs w:val="16"/>
      </w:rPr>
      <w:instrText>PAGE</w:instrText>
    </w:r>
    <w:r w:rsidR="00000000"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2</w:t>
    </w:r>
    <w:r w:rsidR="00000000">
      <w:rPr>
        <w:color w:val="777777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3C2"/>
    <w:multiLevelType w:val="hybridMultilevel"/>
    <w:tmpl w:val="3460B39E"/>
    <w:lvl w:ilvl="0" w:tplc="2EDABAE2">
      <w:start w:val="1"/>
      <w:numFmt w:val="bullet"/>
      <w:lvlText w:val="●"/>
      <w:lvlJc w:val="left"/>
      <w:pPr>
        <w:ind w:left="720" w:hanging="360"/>
      </w:pPr>
    </w:lvl>
    <w:lvl w:ilvl="1" w:tplc="28F22960">
      <w:start w:val="1"/>
      <w:numFmt w:val="bullet"/>
      <w:lvlText w:val="○"/>
      <w:lvlJc w:val="left"/>
      <w:pPr>
        <w:ind w:left="1440" w:hanging="360"/>
      </w:pPr>
    </w:lvl>
    <w:lvl w:ilvl="2" w:tplc="A9C22586">
      <w:start w:val="1"/>
      <w:numFmt w:val="bullet"/>
      <w:lvlText w:val="■"/>
      <w:lvlJc w:val="left"/>
      <w:pPr>
        <w:ind w:left="2160" w:hanging="360"/>
      </w:pPr>
    </w:lvl>
    <w:lvl w:ilvl="3" w:tplc="E6E0D6EA">
      <w:start w:val="1"/>
      <w:numFmt w:val="bullet"/>
      <w:lvlText w:val="●"/>
      <w:lvlJc w:val="left"/>
      <w:pPr>
        <w:ind w:left="2880" w:hanging="360"/>
      </w:pPr>
    </w:lvl>
    <w:lvl w:ilvl="4" w:tplc="50BEEEC8">
      <w:start w:val="1"/>
      <w:numFmt w:val="bullet"/>
      <w:lvlText w:val="○"/>
      <w:lvlJc w:val="left"/>
      <w:pPr>
        <w:ind w:left="3600" w:hanging="360"/>
      </w:pPr>
    </w:lvl>
    <w:lvl w:ilvl="5" w:tplc="25AA786E">
      <w:start w:val="1"/>
      <w:numFmt w:val="bullet"/>
      <w:lvlText w:val="■"/>
      <w:lvlJc w:val="left"/>
      <w:pPr>
        <w:ind w:left="4320" w:hanging="360"/>
      </w:pPr>
    </w:lvl>
    <w:lvl w:ilvl="6" w:tplc="B14C3BCA">
      <w:start w:val="1"/>
      <w:numFmt w:val="bullet"/>
      <w:lvlText w:val="●"/>
      <w:lvlJc w:val="left"/>
      <w:pPr>
        <w:ind w:left="5040" w:hanging="360"/>
      </w:pPr>
    </w:lvl>
    <w:lvl w:ilvl="7" w:tplc="1284CB0C">
      <w:start w:val="1"/>
      <w:numFmt w:val="bullet"/>
      <w:lvlText w:val="●"/>
      <w:lvlJc w:val="left"/>
      <w:pPr>
        <w:ind w:left="5760" w:hanging="360"/>
      </w:pPr>
    </w:lvl>
    <w:lvl w:ilvl="8" w:tplc="0CB4B2A4">
      <w:start w:val="1"/>
      <w:numFmt w:val="bullet"/>
      <w:lvlText w:val="●"/>
      <w:lvlJc w:val="left"/>
      <w:pPr>
        <w:ind w:left="6480" w:hanging="360"/>
      </w:pPr>
    </w:lvl>
  </w:abstractNum>
  <w:num w:numId="1" w16cid:durableId="1825392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145"/>
    <w:rsid w:val="00072869"/>
    <w:rsid w:val="00183145"/>
    <w:rsid w:val="006F23A8"/>
    <w:rsid w:val="0089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A4FAFD"/>
  <w15:docId w15:val="{2A6A87DF-19AE-4D4C-8809-C12F0804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Autonomous Agents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2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23A8"/>
  </w:style>
  <w:style w:type="paragraph" w:styleId="Footer">
    <w:name w:val="footer"/>
    <w:basedOn w:val="Normal"/>
    <w:link w:val="FooterChar"/>
    <w:uiPriority w:val="99"/>
    <w:unhideWhenUsed/>
    <w:rsid w:val="006F2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2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89</Words>
  <Characters>537</Characters>
  <Application>Microsoft Office Word</Application>
  <DocSecurity>0</DocSecurity>
  <Lines>44</Lines>
  <Paragraphs>36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Kristina Denney</cp:lastModifiedBy>
  <cp:revision>2</cp:revision>
  <dcterms:created xsi:type="dcterms:W3CDTF">2026-03-24T20:39:00Z</dcterms:created>
  <dcterms:modified xsi:type="dcterms:W3CDTF">2026-03-24T20:39:00Z</dcterms:modified>
</cp:coreProperties>
</file>