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66C94" w14:textId="77777777" w:rsidR="00C87635" w:rsidRPr="00C87635" w:rsidRDefault="00C87635" w:rsidP="00C87635">
      <w:pPr>
        <w:rPr>
          <w:b/>
          <w:bCs/>
        </w:rPr>
      </w:pPr>
      <w:r w:rsidRPr="00C87635">
        <w:rPr>
          <w:b/>
          <w:bCs/>
        </w:rPr>
        <w:t>GLYPHOR STRATEGIC OPERATING DOCTRINE</w:t>
      </w:r>
    </w:p>
    <w:p w14:paraId="2FA04FE5" w14:textId="77777777" w:rsidR="00C87635" w:rsidRPr="00C87635" w:rsidRDefault="00C87635" w:rsidP="00C87635">
      <w:pPr>
        <w:rPr>
          <w:b/>
          <w:bCs/>
        </w:rPr>
      </w:pPr>
      <w:r w:rsidRPr="00C87635">
        <w:rPr>
          <w:b/>
          <w:bCs/>
        </w:rPr>
        <w:t>Revenue-First, Capital-Efficient Growth Model</w:t>
      </w:r>
    </w:p>
    <w:p w14:paraId="3425CDD9" w14:textId="77777777" w:rsidR="00C87635" w:rsidRPr="00C87635" w:rsidRDefault="00C87635" w:rsidP="00C87635">
      <w:r w:rsidRPr="00C87635">
        <w:t>Glyphor is building a capital-efficient, operationally profitable company designed for durability, long-term stability, and controlled expansion. The company is not pursuing venture-dependent hypergrowth, rapid category capture, patent-first defensibility, or blitzscaling strategies. Growth will be sequenced, revenue-funded, margin-aware, and operationally disciplined. Every strategic recommendation, product decision, pricing decision, infrastructure investment, hiring decision, and capital allocation must align with this posture.</w:t>
      </w:r>
    </w:p>
    <w:p w14:paraId="2956C684" w14:textId="77777777" w:rsidR="00C87635" w:rsidRPr="00C87635" w:rsidRDefault="00C87635" w:rsidP="00C87635">
      <w:r w:rsidRPr="00C87635">
        <w:t>Glyphor does not sell AI tools. Glyphor sells AI-powered departments that deliver outcomes. Customers are not purchasing software interfaces, model access, orchestration layers, or video generation tools. They are purchasing functional work performed inside their organization. The internal technologies — including Pulse, which serves as the AI video generation and creative engine, Fuse, which serves as the development acceleration and software production engine, and Revy, which remains a roadmap initiative — are internal capabilities. They power the departments but are not standalone external products at this stage. Customers interact with departments embedded into their workflow, not with tools or dashboards.</w:t>
      </w:r>
    </w:p>
    <w:p w14:paraId="010A70C7" w14:textId="77777777" w:rsidR="00C87635" w:rsidRPr="00C87635" w:rsidRDefault="00C87635" w:rsidP="00C87635">
      <w:r w:rsidRPr="00C87635">
        <w:t>The initial and only external product during this phase of the company is the AI Marketing Department. This is a productized AI-powered marketing team that shows up where customers already work, rather than requiring customers to learn a new tool. The primary go-to-market wedge is Slack because Slack enables frictionless installation, fast adoption, and a clear demo narrative. The value proposition is that a business can add an AI marketing department to their Slack workspace, answer a small set of onboarding questions, and begin receiving usable marketing output the same day. Parallel integration capability is planned for Microsoft Teams and other comparable communication platforms, but the initial focus is to launch and validate the model through one primary communication channel before expanding surfaces.</w:t>
      </w:r>
    </w:p>
    <w:p w14:paraId="089525F6" w14:textId="77777777" w:rsidR="00C87635" w:rsidRPr="00C87635" w:rsidRDefault="00C87635" w:rsidP="00C87635">
      <w:r w:rsidRPr="00C87635">
        <w:t>The AI Marketing Department is not positioned as a creative software product. It is positioned as a functioning marketing team that produces tangible outputs. It generates social media content, short-form videos powered by Pulse, blog drafts, email campaign drafts, and structured performance summaries. Customers interact with the department conversationally inside Slack or Teams. Requests, approvals, deliverables, and reporting occur directly within those communication platforms. Approvals should be designed to be native to chat behavior, including lightweight mechanisms such as emoji reactions, threaded discussions, and clear call-and-response workflows that do not require customers to leave their workspace. Pulse operates invisibly beneath the surface as the creative production engine.</w:t>
      </w:r>
    </w:p>
    <w:p w14:paraId="5CDE1387" w14:textId="77777777" w:rsidR="00C87635" w:rsidRPr="00C87635" w:rsidRDefault="00C87635" w:rsidP="00C87635">
      <w:r w:rsidRPr="00C87635">
        <w:t>This workflow-embedded model is central to the company’s long-term strategy. By integrating into Slack, Microsoft Teams, and similar tools, Glyphor ensures that the AI department becomes part of the company’s daily operational rhythm. The agents should be present in relevant channels, respond to directives, provide deliverables, request approvals, and track work status within the same collaboration environment where the human team already operates. Over time, this creates natural workflow dependency and increases switching friction. However, switching friction is a byproduct of consistent value delivery and operational embedding, not a first-stage objective.</w:t>
      </w:r>
    </w:p>
    <w:p w14:paraId="4E9FFA1F" w14:textId="77777777" w:rsidR="00C87635" w:rsidRPr="00C87635" w:rsidRDefault="00C87635" w:rsidP="00C87635">
      <w:r w:rsidRPr="00C87635">
        <w:t>While Slack (and later Teams) is the product surface where the department lives and where customers interact day-to-day, Glyphor will eventually provide a dashboard that functions as a window into the department rather than a separate SaaS product. Launching with a dashboard as the primary product experience is explicitly discouraged because it pulls the company into a conventional SaaS category with login flows, UI design requirements, onboarding sequences, and feature comparison dynamics that slow shipping and distract from the core question of whether the department produces valuable work. Slack forces constraints that speed validation and reduce execution risk. The dashboard will be introduced later as a supporting layer that provides views and functionality that chat platforms cannot provide effectively, such as a visual content calendar, analytics and performance charting, a searchable content library with performance metadata, an exportable audit trail and activity log, integration and permission management, cost and usage transparency, tenant configuration, and brand settings. When the dashboard exists, it should be accessed with minimal friction, ideally via Slack-based authentication or Slack SSO so that customers do not experience it as a separate product with separate onboarding. The dashboard exists to support the department, not to replace the department’s chat-native workflow.</w:t>
      </w:r>
    </w:p>
    <w:p w14:paraId="6A4B51C6" w14:textId="77777777" w:rsidR="00C87635" w:rsidRPr="00C87635" w:rsidRDefault="00C87635" w:rsidP="00C87635">
      <w:r w:rsidRPr="00C87635">
        <w:t>At the same time, Glyphor will maintain an internal command center that manages all agents, orchestration flows, governance rules, performance metrics, cost tracking, quality control systems, and escalation protocols. This command center is not customer-facing by default. Customers do not need to see the orchestration architecture in order to receive value, and exposing internal operational complexity early introduces friction and confusion. However, operational control, monitoring, and optimization must be centralized within this command environment to ensure consistency, margin protection, and performance integrity across all deployments. Customers may optionally be granted access to specific views or reporting surfaces in the future, but the control plane remains internal.</w:t>
      </w:r>
    </w:p>
    <w:p w14:paraId="668D02F4" w14:textId="77777777" w:rsidR="00C87635" w:rsidRPr="00C87635" w:rsidRDefault="00C87635" w:rsidP="00C87635">
      <w:r w:rsidRPr="00C87635">
        <w:t>Glyphor will operate on a multi-tenant architecture by default in order to preserve capital efficiency and simplify scaling. However, the system must also support the ability for customers to deploy in their own tenant environment if required. This includes potential single-tenant deployments within a customer’s cloud infrastructure, identity systems, or workspace boundaries when necessary for security, compliance, procurement, or governance requirements. Multi-tenancy is the default for speed and cost efficiency. Customer-tenant deployments are an optional configuration for customers who demand greater isolation or control. The system architecture must support both models without compromising internal command-and-control, monitoring, and governance.</w:t>
      </w:r>
    </w:p>
    <w:p w14:paraId="4AB7254E" w14:textId="77777777" w:rsidR="00C87635" w:rsidRPr="00C87635" w:rsidRDefault="00C87635" w:rsidP="00C87635">
      <w:r w:rsidRPr="00C87635">
        <w:t>Strategic focus is mandatory. Only one department may be sold externally until revenue stability and retention are validated. Additional departments — including AI Development, AI Sales, AI Customer Success, or any other function — may only be introduced after clearly defined revenue milestones are achieved and unit economics are proven. Expansion must be metric-driven and revenue-funded. It must never be driven by excitement, competitive reaction, narrative positioning, or internal architectural readiness alone. The operational principle is that Glyphor must prove one department can be sold, retained, and delivered profitably before scaling the organizational surface area.</w:t>
      </w:r>
    </w:p>
    <w:p w14:paraId="6F1EF2EE" w14:textId="77777777" w:rsidR="00C87635" w:rsidRPr="00C87635" w:rsidRDefault="00C87635" w:rsidP="00C87635">
      <w:r w:rsidRPr="00C87635">
        <w:t>The initial target market consists of small to medium-sized businesses, typically five to fifty employees, often founder-led, that lack a full in-house marketing team. These organizations need consistent marketing output but cannot justify hiring a full-time employee or agency at traditional rates. They operate with relatively short decision cycles and value simplicity, speed, and clarity of deliverables. Enterprise markets, heavily regulated industries, and complex procurement environments are intentionally excluded from the current phase to preserve focus and reduce friction. Expansion to Teams-first or dashboard-first customers may occur later as a controlled expansion surface, but the company must first validate the Slack wedge and the department model.</w:t>
      </w:r>
    </w:p>
    <w:p w14:paraId="115A8D40" w14:textId="77777777" w:rsidR="00C87635" w:rsidRPr="00C87635" w:rsidRDefault="00C87635" w:rsidP="00C87635">
      <w:r w:rsidRPr="00C87635">
        <w:t>Pricing for the AI Marketing Department has not yet been finalized and must be developed through structured modeling and real-market validation. While an initial target range between five hundred and seven hundred fifty dollars per month is under consideration, final pricing must be validated based on unit economics, cost of compute, agent workload, margin targets, onboarding cost, retention expectations, and perceived customer value. Pricing must be simple and predictable, with as little complexity as possible early on. There will be no usage-based pricing, no credit systems, and no unnecessary tiering during the early stage. The pricing strategy must be built deliberately through analysis and customer behavior rather than assumption.</w:t>
      </w:r>
    </w:p>
    <w:p w14:paraId="59E97C3B" w14:textId="77777777" w:rsidR="00C87635" w:rsidRPr="00C87635" w:rsidRDefault="00C87635" w:rsidP="00C87635">
      <w:r w:rsidRPr="00C87635">
        <w:t>Scope discipline is critical to sustainability. The AI Marketing Department must have clearly defined deliverables and boundaries. It produces a defined volume of social posts, short-form videos, blog drafts, email campaign drafts, and performance reporting. It does not provide unlimited custom content, paid ad management (initially), bespoke brand strategy consulting, open-ended creative production, or human-like advisory services. Any expansion of scope without a corresponding change in pricing reduces margins and introduces operational instability. Agents must actively detect and prevent scope creep, because the fastest way for this model to fail is to drift into consulting behavior while charging product pricing.</w:t>
      </w:r>
    </w:p>
    <w:p w14:paraId="6D4FD52C" w14:textId="77777777" w:rsidR="00C87635" w:rsidRPr="00C87635" w:rsidRDefault="00C87635" w:rsidP="00C87635">
      <w:r w:rsidRPr="00C87635">
        <w:t>An essential component of the long-term strategy is the development of a customer knowledge base ingestion system. Each customer must have the ability to upload company assets into a secure repository so the agents can ingest and operate with high context. This includes brand assets, style guides, past campaigns, documents, positioning materials, tone guidelines, media libraries, product information, customer personas, and strategic context. This repository functions similarly to how Glyphor is ingesting internal information into SharePoint, and it becomes the source of truth the agents use for company-specific execution. The AI agents must ingest, index, and reason over these customer-provided materials to produce increasingly accurate, consistent, and brand-aligned outputs. Over time, this accumulated brand knowledge becomes proprietary operational memory for each client, improves performance, and contributes to switching cost and defensibility.</w:t>
      </w:r>
    </w:p>
    <w:p w14:paraId="2AB1EED9" w14:textId="77777777" w:rsidR="00C87635" w:rsidRPr="00C87635" w:rsidRDefault="00C87635" w:rsidP="00C87635">
      <w:r w:rsidRPr="00C87635">
        <w:t>Revenue validation and retention validation are the immediate objectives. Revenue proves market demand. Retention proves sustained value. Defensibility, or moat development, is a secondary objective that emerges from consistent usage and embedding. A moat in this context most realistically takes the form of switching costs created through workflow embedding, accumulated brand memory, performance history, content archives, and integrated operational processes within Slack, Teams, and customer communication environments. As customers use the AI Marketing Department, the system must accumulate long-term brand voice memory, campaign history, engagement data, historical performance metrics, and structured content archives. The AI department should track what content performs well, adapt tone and style based on engagement signals, and maintain persistent knowledge bases for each client. This accumulated knowledge increases operational dependency and makes switching to a competitor less attractive because historical data, embedded workflows, and accumulated context would be lost.</w:t>
      </w:r>
    </w:p>
    <w:p w14:paraId="0724CA09" w14:textId="77777777" w:rsidR="00C87635" w:rsidRPr="00C87635" w:rsidRDefault="00C87635" w:rsidP="00C87635">
      <w:r w:rsidRPr="00C87635">
        <w:t>Patent filings and legal expenditures are not prioritized in the current phase. Legal strategies that do not directly contribute to revenue or validated defensibility reduce runway and increase risk. Patent exploration may be reconsidered only after revenue stability is achieved and proprietary processes are validated through real market adoption.</w:t>
      </w:r>
    </w:p>
    <w:p w14:paraId="29676E86" w14:textId="77777777" w:rsidR="00C87635" w:rsidRPr="00C87635" w:rsidRDefault="00C87635" w:rsidP="00C87635">
      <w:r w:rsidRPr="00C87635">
        <w:t>To prevent strategic drift, all initiatives must directly support revenue generation, retention improvement, margin protection, workflow embedding, knowledge accumulation, or structured expansion readiness for the AI Marketing Department. No new external products, no multi-department scaling, no infrastructure overexpansion, and no rebranding efforts may occur without revenue milestones being met. Strategic reviews must be structured, data-driven, and grounded in measurable outcomes. The company should avoid the failure mode of spending months on UI and onboarding complexity before proving that the department model works with paying customers.</w:t>
      </w:r>
    </w:p>
    <w:p w14:paraId="0007C773" w14:textId="77777777" w:rsidR="00C87635" w:rsidRPr="00C87635" w:rsidRDefault="00C87635" w:rsidP="00C87635">
      <w:r w:rsidRPr="00C87635">
        <w:t>Glyphor’s strategy is designed to preserve multiple exit pathways without depending on them. Deep integration into Slack, Microsoft Teams, and similar collaboration ecosystems creates a credible long-term acquisition pathway because platform companies value products that increase usage, retention, and stickiness inside their environments. The strongest acquisition signal will not be architecture diagrams or patent filings. It will be recurring revenue, durable retention, workflow embedding, high engagement inside Slack or Teams, and a growing base of customers who rely on Glyphor as an operational layer. At the same time, if the company achieves strong profitability and high-margin recurring revenue, acquisition by a marketing technology company, automation platform, productivity suite provider, or enterprise AI vendor becomes plausible. The objective is to build a company so operationally solid and strategically embedded that acquisition becomes an option rather than a requirement.</w:t>
      </w:r>
    </w:p>
    <w:p w14:paraId="457B462B" w14:textId="77777777" w:rsidR="00C87635" w:rsidRPr="00C87635" w:rsidRDefault="00C87635" w:rsidP="00C87635">
      <w:r w:rsidRPr="00C87635">
        <w:t>Glyphor is building a profitable AI Department company that expands sequentially. The sequence is clear: launch one department, validate revenue, validate retention, systemize delivery, embed deeply into customer communication workflows, accumulate proprietary operational and brand knowledge, protect margins, and reinvest revenue into controlled expansion. Durability precedes scale. Revenue precedes narrative. Execution precedes expansion.</w:t>
      </w:r>
    </w:p>
    <w:p w14:paraId="253FACBA" w14:textId="77777777" w:rsidR="00C87635" w:rsidRPr="00C87635" w:rsidRDefault="00C87635" w:rsidP="00C87635">
      <w:r w:rsidRPr="00C87635">
        <w:t>All agents must reason within this framework and generate plans consistent with this doctrine.</w:t>
      </w:r>
    </w:p>
    <w:p w14:paraId="28BA64C3" w14:textId="77777777" w:rsidR="009930DC" w:rsidRDefault="009930DC"/>
    <w:sectPr w:rsidR="009930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635"/>
    <w:rsid w:val="00237409"/>
    <w:rsid w:val="004166C2"/>
    <w:rsid w:val="004603E3"/>
    <w:rsid w:val="004F19B8"/>
    <w:rsid w:val="009930DC"/>
    <w:rsid w:val="00A13C87"/>
    <w:rsid w:val="00A33BDA"/>
    <w:rsid w:val="00C87635"/>
    <w:rsid w:val="00D934DD"/>
    <w:rsid w:val="00E350D8"/>
    <w:rsid w:val="00E65AC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89CF76F"/>
  <w15:chartTrackingRefBased/>
  <w15:docId w15:val="{E32CA1F4-A7D4-44FD-A9F2-5C71B4D30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6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76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6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6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6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6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6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6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6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6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635"/>
    <w:rPr>
      <w:rFonts w:eastAsiaTheme="majorEastAsia" w:cstheme="majorBidi"/>
      <w:color w:val="272727" w:themeColor="text1" w:themeTint="D8"/>
    </w:rPr>
  </w:style>
  <w:style w:type="paragraph" w:styleId="Title">
    <w:name w:val="Title"/>
    <w:basedOn w:val="Normal"/>
    <w:next w:val="Normal"/>
    <w:link w:val="TitleChar"/>
    <w:uiPriority w:val="10"/>
    <w:qFormat/>
    <w:rsid w:val="00C87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635"/>
    <w:pPr>
      <w:spacing w:before="160"/>
      <w:jc w:val="center"/>
    </w:pPr>
    <w:rPr>
      <w:i/>
      <w:iCs/>
      <w:color w:val="404040" w:themeColor="text1" w:themeTint="BF"/>
    </w:rPr>
  </w:style>
  <w:style w:type="character" w:customStyle="1" w:styleId="QuoteChar">
    <w:name w:val="Quote Char"/>
    <w:basedOn w:val="DefaultParagraphFont"/>
    <w:link w:val="Quote"/>
    <w:uiPriority w:val="29"/>
    <w:rsid w:val="00C87635"/>
    <w:rPr>
      <w:i/>
      <w:iCs/>
      <w:color w:val="404040" w:themeColor="text1" w:themeTint="BF"/>
    </w:rPr>
  </w:style>
  <w:style w:type="paragraph" w:styleId="ListParagraph">
    <w:name w:val="List Paragraph"/>
    <w:basedOn w:val="Normal"/>
    <w:uiPriority w:val="34"/>
    <w:qFormat/>
    <w:rsid w:val="00C87635"/>
    <w:pPr>
      <w:ind w:left="720"/>
      <w:contextualSpacing/>
    </w:pPr>
  </w:style>
  <w:style w:type="character" w:styleId="IntenseEmphasis">
    <w:name w:val="Intense Emphasis"/>
    <w:basedOn w:val="DefaultParagraphFont"/>
    <w:uiPriority w:val="21"/>
    <w:qFormat/>
    <w:rsid w:val="00C87635"/>
    <w:rPr>
      <w:i/>
      <w:iCs/>
      <w:color w:val="0F4761" w:themeColor="accent1" w:themeShade="BF"/>
    </w:rPr>
  </w:style>
  <w:style w:type="paragraph" w:styleId="IntenseQuote">
    <w:name w:val="Intense Quote"/>
    <w:basedOn w:val="Normal"/>
    <w:next w:val="Normal"/>
    <w:link w:val="IntenseQuoteChar"/>
    <w:uiPriority w:val="30"/>
    <w:qFormat/>
    <w:rsid w:val="00C876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635"/>
    <w:rPr>
      <w:i/>
      <w:iCs/>
      <w:color w:val="0F4761" w:themeColor="accent1" w:themeShade="BF"/>
    </w:rPr>
  </w:style>
  <w:style w:type="character" w:styleId="IntenseReference">
    <w:name w:val="Intense Reference"/>
    <w:basedOn w:val="DefaultParagraphFont"/>
    <w:uiPriority w:val="32"/>
    <w:qFormat/>
    <w:rsid w:val="00C876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3EA6BB295601A469FAAD426C03A967C" ma:contentTypeVersion="11" ma:contentTypeDescription="Create a new document." ma:contentTypeScope="" ma:versionID="c553f131a3dd28b5b56db9d53f55d2e4">
  <xsd:schema xmlns:xsd="http://www.w3.org/2001/XMLSchema" xmlns:xs="http://www.w3.org/2001/XMLSchema" xmlns:p="http://schemas.microsoft.com/office/2006/metadata/properties" xmlns:ns2="71d7416d-17da-431e-a519-0728e4cd6c52" xmlns:ns3="2e47aa8a-e643-45af-a455-b7032e720d53" targetNamespace="http://schemas.microsoft.com/office/2006/metadata/properties" ma:root="true" ma:fieldsID="afad5089b4f80cc6ec80742337c69b2b" ns2:_="" ns3:_="">
    <xsd:import namespace="71d7416d-17da-431e-a519-0728e4cd6c52"/>
    <xsd:import namespace="2e47aa8a-e643-45af-a455-b7032e720d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d7416d-17da-431e-a519-0728e4cd6c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91f3ae2-3b55-4d73-ab84-1a98c28e0be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e47aa8a-e643-45af-a455-b7032e720d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2d16d67-0645-4b91-b279-bdd96f08cdc7}" ma:internalName="TaxCatchAll" ma:showField="CatchAllData" ma:web="2e47aa8a-e643-45af-a455-b7032e720d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1d7416d-17da-431e-a519-0728e4cd6c52">
      <Terms xmlns="http://schemas.microsoft.com/office/infopath/2007/PartnerControls"/>
    </lcf76f155ced4ddcb4097134ff3c332f>
    <TaxCatchAll xmlns="2e47aa8a-e643-45af-a455-b7032e720d53"/>
  </documentManagement>
</p:properties>
</file>

<file path=customXml/itemProps1.xml><?xml version="1.0" encoding="utf-8"?>
<ds:datastoreItem xmlns:ds="http://schemas.openxmlformats.org/officeDocument/2006/customXml" ds:itemID="{982E987C-DFDB-4479-8068-839D6F3FD87A}">
  <ds:schemaRefs>
    <ds:schemaRef ds:uri="http://schemas.microsoft.com/sharepoint/v3/contenttype/forms"/>
  </ds:schemaRefs>
</ds:datastoreItem>
</file>

<file path=customXml/itemProps2.xml><?xml version="1.0" encoding="utf-8"?>
<ds:datastoreItem xmlns:ds="http://schemas.openxmlformats.org/officeDocument/2006/customXml" ds:itemID="{064419DF-BDB5-412D-B75C-1708E20B39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d7416d-17da-431e-a519-0728e4cd6c52"/>
    <ds:schemaRef ds:uri="2e47aa8a-e643-45af-a455-b7032e720d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BF4A6CC-195D-4A41-81F8-FE24FE89F958}">
  <ds:schemaRefs>
    <ds:schemaRef ds:uri="http://schemas.microsoft.com/office/2006/metadata/properties"/>
    <ds:schemaRef ds:uri="http://schemas.microsoft.com/office/infopath/2007/PartnerControls"/>
    <ds:schemaRef ds:uri="71d7416d-17da-431e-a519-0728e4cd6c52"/>
    <ds:schemaRef ds:uri="2e47aa8a-e643-45af-a455-b7032e720d53"/>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Zwelling</dc:creator>
  <cp:keywords/>
  <dc:description/>
  <cp:lastModifiedBy>Andrew Zwelling</cp:lastModifiedBy>
  <cp:revision>1</cp:revision>
  <dcterms:created xsi:type="dcterms:W3CDTF">2026-03-03T02:46:00Z</dcterms:created>
  <dcterms:modified xsi:type="dcterms:W3CDTF">2026-03-05T21:49:00Z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0x010100C3EA6BB295601A469FAAD426C03A967C</vt:lpwstr>
  </property>
  <property fmtid="{D5CDD505-2E9C-101B-9397-08002B2CF9AE}" pid="3" name="MediaServiceImageTags">
    <vt:lpwstr/>
  </property>
  <property fmtid="{D5CDD505-2E9C-101B-9397-08002B2CF9AE}" pid="4" name="docLang">
    <vt:lpwstr>en</vt:lpwstr>
  </property>
</Properties>
</file>