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Segoe UI" w:cs="Segoe UI" w:eastAsia="Segoe UI" w:hAnsi="Segoe UI"/>
          <w:b/>
          <w:bCs/>
          <w:color w:val="00E0FF"/>
          <w:sz w:val="20"/>
          <w:szCs w:val="20"/>
        </w:rPr>
        <w:t xml:space="preserve">GLYPHOR</w:t>
      </w:r>
    </w:p>
    <w:p>
      <w:pPr>
        <w:pBdr>
          <w:bottom w:val="single" w:color="00E0FF" w:sz="4" w:space="6"/>
        </w:pBdr>
        <w:spacing w:after="120"/>
      </w:pPr>
    </w:p>
    <w:p>
      <w:pPr>
        <w:spacing w:before="200" w:after="80"/>
      </w:pPr>
      <w:r>
        <w:rPr>
          <w:rFonts w:ascii="Segoe UI" w:cs="Segoe UI" w:eastAsia="Segoe UI" w:hAnsi="Segoe UI"/>
          <w:b/>
          <w:bCs/>
          <w:color w:val="E5E7EB"/>
          <w:sz w:val="48"/>
          <w:szCs w:val="48"/>
        </w:rPr>
        <w:t xml:space="preserve">Strategic Analysis: Competitive Landscape</w:t>
      </w:r>
    </w:p>
    <w:p>
      <w:pPr>
        <w:spacing w:after="80"/>
      </w:pPr>
      <w:r>
        <w:rPr>
          <w:rFonts w:ascii="Segoe UI" w:cs="Segoe UI" w:eastAsia="Segoe UI" w:hAnsi="Segoe UI"/>
          <w:i/>
          <w:iCs/>
          <w:color w:val="B0B8C4"/>
          <w:sz w:val="24"/>
          <w:szCs w:val="24"/>
        </w:rPr>
        <w:t xml:space="preserve">Autonomous Agents</w:t>
      </w:r>
    </w:p>
    <w:p>
      <w:pPr>
        <w:pBdr>
          <w:bottom w:val="single" w:color="2D3348" w:sz="1" w:space="12"/>
        </w:pBdr>
        <w:spacing w:after="400"/>
      </w:pPr>
      <w:r>
        <w:rPr>
          <w:rFonts w:ascii="Segoe UI" w:cs="Segoe UI" w:eastAsia="Segoe UI" w:hAnsi="Segoe UI"/>
          <w:color w:val="8B95A5"/>
          <w:sz w:val="18"/>
          <w:szCs w:val="18"/>
        </w:rPr>
        <w:t xml:space="preserve">Depth: deep</w:t>
      </w:r>
      <w:r>
        <w:rPr>
          <w:rFonts w:ascii="Segoe UI" w:cs="Segoe UI" w:eastAsia="Segoe UI" w:hAnsi="Segoe UI"/>
          <w:color w:val="8B95A5"/>
          <w:sz w:val="18"/>
          <w:szCs w:val="18"/>
        </w:rPr>
        <w:t xml:space="preserve">  ·  Sources: 0</w:t>
      </w:r>
      <w:r>
        <w:rPr>
          <w:rFonts w:ascii="Segoe UI" w:cs="Segoe UI" w:eastAsia="Segoe UI" w:hAnsi="Segoe UI"/>
          <w:color w:val="8B95A5"/>
          <w:sz w:val="18"/>
          <w:szCs w:val="18"/>
        </w:rPr>
        <w:t xml:space="preserve">  ·  Searches: 0</w:t>
      </w:r>
      <w:r>
        <w:rPr>
          <w:rFonts w:ascii="Segoe UI" w:cs="Segoe UI" w:eastAsia="Segoe UI" w:hAnsi="Segoe UI"/>
          <w:color w:val="8B95A5"/>
          <w:sz w:val="18"/>
          <w:szCs w:val="18"/>
        </w:rPr>
        <w:t xml:space="preserve">  ·  Date: 3/25/2026</w:t>
      </w:r>
    </w:p>
    <w:p>
      <w:pPr>
        <w:pBdr>
          <w:top w:val="single" w:color="00E0FF" w:sz="6" w:space="8"/>
        </w:pBdr>
        <w:spacing w:before="480" w:after="40"/>
      </w:pPr>
    </w:p>
    <w:p>
      <w:pPr>
        <w:pStyle w:val="Heading1"/>
        <w:spacing w:before="0" w:after="200"/>
      </w:pPr>
      <w:r>
        <w:rPr>
          <w:rFonts w:ascii="Segoe UI" w:cs="Segoe UI" w:eastAsia="Segoe UI" w:hAnsi="Segoe UI"/>
          <w:b/>
          <w:bCs/>
          <w:color w:val="00E0FF"/>
          <w:sz w:val="28"/>
          <w:szCs w:val="28"/>
        </w:rPr>
        <w:t xml:space="preserve">Executive Summary</w:t>
      </w:r>
    </w:p>
    <w:p>
      <w:pPr>
        <w:spacing w:after="160"/>
      </w:pPr>
      <w:r>
        <w:rPr>
          <w:rFonts w:ascii="Segoe UI" w:cs="Segoe UI" w:eastAsia="Segoe UI" w:hAnsi="Segoe UI"/>
          <w:color w:val="E5E7EB"/>
          <w:sz w:val="22"/>
          <w:szCs w:val="22"/>
        </w:rPr>
        <w:t xml:space="preserve">This founder-grade strategy report analyzes the competitive landscape for Glyphor, focusing on its dual-engine ecosystem: Glyphor Fuse (Autonomous Development Teams/ADT) and Glyphor Pulse (AI Video/Creative). As of early 2026, the autonomous AI agent market is experiencing explosive growth—projected to reach $199 billion by 2034—characterized by extreme capital concentration at the top (e.g., Cursor reaching $1.2B ARR, Cognition's Devin achieving a $10.2B valuation) juxtaposed against a fragmented ecosystem of over 1,150 tools. However, the market is navigating a severe 'trust crisis.' Gartner predicts that 40% of enterprise agentic AI projects will be canceled by 2027 due to 'agent washing'—the deceptive rebranding of static RPA or chatbots as autonomous systems. To succeed, Glyphor Fuse must differentiate its ADT from both continuous co-editors (like Cursor) and asynchronous delegators (like Devin) by proving enterprise-grade governance, pipeline stability, and security. Notably, while Glyphor ADT claims to operate 24/7 as a full-stack team, critical objective performance metrics such as SWE-bench scores are currently unavailable and must be established to validate claims against incumbents. Concurrently, Glyphor Pulse operates in the hyper-competitive AI video generation sector against powerhouses like Google Veo 3.1 and OpenAI Sora 2, requiring a distinct focus on workflow integration and template-driven value rather than purely competing on foundational model parameters. Strategic success for Glyphor hinges on proving verifiable ROI, establishing robust security protocols, and executing true multi-agent orchestration.</w:t>
      </w:r>
    </w:p>
    <w:p>
      <w:pPr>
        <w:pBdr>
          <w:top w:val="single" w:color="D97706" w:sz="6" w:space="8"/>
        </w:pBdr>
        <w:spacing w:before="480" w:after="40"/>
      </w:pPr>
    </w:p>
    <w:p>
      <w:pPr>
        <w:pStyle w:val="Heading1"/>
        <w:spacing w:before="0" w:after="200"/>
      </w:pPr>
      <w:r>
        <w:rPr>
          <w:rFonts w:ascii="Segoe UI" w:cs="Segoe UI" w:eastAsia="Segoe UI" w:hAnsi="Segoe UI"/>
          <w:b/>
          <w:bCs/>
          <w:color w:val="D97706"/>
          <w:sz w:val="28"/>
          <w:szCs w:val="28"/>
        </w:rPr>
        <w:t xml:space="preserve">Cross-Framework Insights</w:t>
      </w:r>
    </w:p>
    <w:p>
      <w:pPr>
        <w:pStyle w:val="ListParagraph"/>
        <w:numPr>
          <w:ilvl w:val="0"/>
          <w:numId w:val="1"/>
        </w:numPr>
        <w:spacing w:after="80"/>
      </w:pPr>
      <w:r>
        <w:rPr>
          <w:rFonts w:ascii="Segoe UI" w:cs="Segoe UI" w:eastAsia="Segoe UI" w:hAnsi="Segoe UI"/>
          <w:color w:val="3D3D3D"/>
          <w:sz w:val="21"/>
          <w:szCs w:val="21"/>
        </w:rPr>
        <w:t xml:space="preserve">The 'Cursor vs. Devin Paradigm': The software engineering market is fundamentally bifurcated into continuous co-editing (Cursor) and task delegation (Devin). Glyphor ADT aligns with the delegation model. Therefore, its primary battleground is not developer flow state, but rather asynchronous reliability, task comprehension, and project management trust.</w:t>
      </w:r>
    </w:p>
    <w:p>
      <w:pPr>
        <w:pStyle w:val="ListParagraph"/>
        <w:numPr>
          <w:ilvl w:val="0"/>
          <w:numId w:val="1"/>
        </w:numPr>
        <w:spacing w:after="80"/>
      </w:pPr>
      <w:r>
        <w:rPr>
          <w:rFonts w:ascii="Segoe UI" w:cs="Segoe UI" w:eastAsia="Segoe UI" w:hAnsi="Segoe UI"/>
          <w:color w:val="3D3D3D"/>
          <w:sz w:val="21"/>
          <w:szCs w:val="21"/>
        </w:rPr>
        <w:t xml:space="preserve">The 'Agent Washing' Penalty: The AI agent market in 2026 is defined by a deep trust deficit among enterprise CIOs. Glyphor's marketing must pivot from abstract promises of 'instant app creation' to 'measurable engineering velocity, SWE-bench transparency, and legacy system stability' to avoid being dismissed as a low-value wrapper.</w:t>
      </w:r>
    </w:p>
    <w:p>
      <w:pPr>
        <w:pStyle w:val="ListParagraph"/>
        <w:numPr>
          <w:ilvl w:val="0"/>
          <w:numId w:val="1"/>
        </w:numPr>
        <w:spacing w:after="80"/>
      </w:pPr>
      <w:r>
        <w:rPr>
          <w:rFonts w:ascii="Segoe UI" w:cs="Segoe UI" w:eastAsia="Segoe UI" w:hAnsi="Segoe UI"/>
          <w:color w:val="3D3D3D"/>
          <w:sz w:val="21"/>
          <w:szCs w:val="21"/>
        </w:rPr>
        <w:t xml:space="preserve">Creative vs. Engineering Synergy: Managing both Pulse (creative/video) and Fuse (engineering) under one brand risks diluting narrative focus. However, if technologically integrated, it presents a unique opportunity to automate front-end UI generation seamlessly tied to back-end ADT coding, creating an unprecedented unified 'idea-to-deployment' pipeline.</w:t>
      </w:r>
    </w:p>
    <w:p>
      <w:pPr>
        <w:pStyle w:val="ListParagraph"/>
        <w:numPr>
          <w:ilvl w:val="0"/>
          <w:numId w:val="1"/>
        </w:numPr>
        <w:spacing w:after="80"/>
      </w:pPr>
      <w:r>
        <w:rPr>
          <w:rFonts w:ascii="Segoe UI" w:cs="Segoe UI" w:eastAsia="Segoe UI" w:hAnsi="Segoe UI"/>
          <w:color w:val="3D3D3D"/>
          <w:sz w:val="21"/>
          <w:szCs w:val="21"/>
        </w:rPr>
        <w:t xml:space="preserve">The ROI Imperative: With 67% of Fortune 500s deploying agentic AI but many facing internal backlash over costs, the winning platforms in 2026 will not be the most capable, but the most economically disciplined. Glyphor must rigorously prove 'The Economics of AI-First Development'.</w:t>
      </w:r>
    </w:p>
    <w:p>
      <w:pPr>
        <w:pBdr>
          <w:top w:val="single" w:color="1A1A2E" w:sz="6" w:space="8"/>
        </w:pBdr>
        <w:spacing w:before="480" w:after="40"/>
      </w:pPr>
    </w:p>
    <w:p>
      <w:pPr>
        <w:pStyle w:val="Heading1"/>
        <w:spacing w:before="0" w:after="200"/>
      </w:pPr>
      <w:r>
        <w:rPr>
          <w:rFonts w:ascii="Segoe UI" w:cs="Segoe UI" w:eastAsia="Segoe UI" w:hAnsi="Segoe UI"/>
          <w:b/>
          <w:bCs/>
          <w:color w:val="1A1A2E"/>
          <w:sz w:val="28"/>
          <w:szCs w:val="28"/>
        </w:rPr>
        <w:t xml:space="preserve">SWOT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059669" w:sz="3"/>
              <w:left w:val="single" w:color="2D3348" w:sz="1"/>
              <w:bottom w:val="single" w:color="2D3348" w:sz="1"/>
              <w:right w:val="single" w:color="2D3348" w:sz="1"/>
            </w:tcBorders>
            <w:tcMar>
              <w:top w:type="dxa" w:w="144"/>
              <w:left w:type="dxa" w:w="172"/>
              <w:bottom w:type="dxa" w:w="144"/>
              <w:right w:type="dxa" w:w="172"/>
            </w:tcMar>
          </w:tcPr>
          <w:p>
            <w:pPr>
              <w:spacing w:after="100"/>
            </w:pPr>
            <w:r>
              <w:rPr>
                <w:rFonts w:ascii="Segoe UI" w:cs="Segoe UI" w:eastAsia="Segoe UI" w:hAnsi="Segoe UI"/>
                <w:b/>
                <w:bCs/>
                <w:color w:val="059669"/>
                <w:sz w:val="20"/>
                <w:szCs w:val="20"/>
              </w:rPr>
              <w:t xml:space="preserve">STRENGTHS</w:t>
            </w:r>
          </w:p>
          <w:p>
            <w:pPr>
              <w:pStyle w:val="ListParagraph"/>
              <w:numPr>
                <w:ilvl w:val="0"/>
                <w:numId w:val="1"/>
              </w:numPr>
              <w:spacing w:after="60"/>
            </w:pPr>
            <w:r>
              <w:rPr>
                <w:rFonts w:ascii="Segoe UI" w:cs="Segoe UI" w:eastAsia="Segoe UI" w:hAnsi="Segoe UI"/>
                <w:color w:val="C4C9D4"/>
                <w:sz w:val="19"/>
                <w:szCs w:val="19"/>
              </w:rPr>
              <w:t xml:space="preserve">Comprehensive multi-product ecosystem with Glyphor Fuse (engineering) and Glyphor Pulse (creative), enabling holistic cross-departmental enterprise penetration.</w:t>
            </w:r>
          </w:p>
          <w:p>
            <w:pPr>
              <w:pStyle w:val="ListParagraph"/>
              <w:numPr>
                <w:ilvl w:val="0"/>
                <w:numId w:val="1"/>
              </w:numPr>
              <w:spacing w:after="60"/>
            </w:pPr>
            <w:r>
              <w:rPr>
                <w:rFonts w:ascii="Segoe UI" w:cs="Segoe UI" w:eastAsia="Segoe UI" w:hAnsi="Segoe UI"/>
                <w:color w:val="C4C9D4"/>
                <w:sz w:val="19"/>
                <w:szCs w:val="19"/>
              </w:rPr>
              <w:t xml:space="preserve">Strategic positioning of Autonomous Development Teams (ADT) as a complete role-based, memory-persistent orchestration architecture rather than a simple IDE plugin.</w:t>
            </w:r>
          </w:p>
          <w:p>
            <w:pPr>
              <w:pStyle w:val="ListParagraph"/>
              <w:numPr>
                <w:ilvl w:val="0"/>
                <w:numId w:val="1"/>
              </w:numPr>
              <w:spacing w:after="60"/>
            </w:pPr>
            <w:r>
              <w:rPr>
                <w:rFonts w:ascii="Segoe UI" w:cs="Segoe UI" w:eastAsia="Segoe UI" w:hAnsi="Segoe UI"/>
                <w:color w:val="C4C9D4"/>
                <w:sz w:val="19"/>
                <w:szCs w:val="19"/>
              </w:rPr>
              <w:t xml:space="preserve">Explicit architectural focus on enterprise governance and a 'Security First' foundation, directly mitigating primary buyer hesitations surrounding autonomous code execution.</w:t>
            </w:r>
          </w:p>
          <w:p>
            <w:pPr>
              <w:pStyle w:val="ListParagraph"/>
              <w:numPr>
                <w:ilvl w:val="0"/>
                <w:numId w:val="1"/>
              </w:numPr>
              <w:spacing w:after="60"/>
            </w:pPr>
            <w:r>
              <w:rPr>
                <w:rFonts w:ascii="Segoe UI" w:cs="Segoe UI" w:eastAsia="Segoe UI" w:hAnsi="Segoe UI"/>
                <w:color w:val="C4C9D4"/>
                <w:sz w:val="19"/>
                <w:szCs w:val="19"/>
              </w:rPr>
              <w:t xml:space="preserve">Agnostic integration capabilities targeting complex, legacy enterprise environments (e.g., SAP, Oracle, Snowflake refactoring).</w:t>
            </w:r>
          </w:p>
        </w:tc>
        <w:tc>
          <w:tcPr>
            <w:tcW w:type="pct" w:w="50%"/>
            <w:tcBorders>
              <w:top w:val="single" w:color="DC2626" w:sz="3"/>
              <w:left w:val="single" w:color="2D3348" w:sz="1"/>
              <w:bottom w:val="single" w:color="2D3348" w:sz="1"/>
              <w:right w:val="single" w:color="2D3348" w:sz="1"/>
            </w:tcBorders>
            <w:tcMar>
              <w:top w:type="dxa" w:w="144"/>
              <w:left w:type="dxa" w:w="172"/>
              <w:bottom w:type="dxa" w:w="144"/>
              <w:right w:type="dxa" w:w="172"/>
            </w:tcMar>
          </w:tcPr>
          <w:p>
            <w:pPr>
              <w:spacing w:after="100"/>
            </w:pPr>
            <w:r>
              <w:rPr>
                <w:rFonts w:ascii="Segoe UI" w:cs="Segoe UI" w:eastAsia="Segoe UI" w:hAnsi="Segoe UI"/>
                <w:b/>
                <w:bCs/>
                <w:color w:val="DC2626"/>
                <w:sz w:val="20"/>
                <w:szCs w:val="20"/>
              </w:rPr>
              <w:t xml:space="preserve">WEAKNESSES</w:t>
            </w:r>
          </w:p>
          <w:p>
            <w:pPr>
              <w:pStyle w:val="ListParagraph"/>
              <w:numPr>
                <w:ilvl w:val="0"/>
                <w:numId w:val="1"/>
              </w:numPr>
              <w:spacing w:after="60"/>
            </w:pPr>
            <w:r>
              <w:rPr>
                <w:rFonts w:ascii="Segoe UI" w:cs="Segoe UI" w:eastAsia="Segoe UI" w:hAnsi="Segoe UI"/>
                <w:color w:val="C4C9D4"/>
                <w:sz w:val="19"/>
                <w:szCs w:val="19"/>
              </w:rPr>
              <w:t xml:space="preserve">Complete lack of publicly available, verifiable benchmark data; critical comparative metrics such as SWE-bench scores are explicitly unavailable, hindering technical credibility.</w:t>
            </w:r>
          </w:p>
          <w:p>
            <w:pPr>
              <w:pStyle w:val="ListParagraph"/>
              <w:numPr>
                <w:ilvl w:val="0"/>
                <w:numId w:val="1"/>
              </w:numPr>
              <w:spacing w:after="60"/>
            </w:pPr>
            <w:r>
              <w:rPr>
                <w:rFonts w:ascii="Segoe UI" w:cs="Segoe UI" w:eastAsia="Segoe UI" w:hAnsi="Segoe UI"/>
                <w:color w:val="C4C9D4"/>
                <w:sz w:val="19"/>
                <w:szCs w:val="19"/>
              </w:rPr>
              <w:t xml:space="preserve">Operating in dual markets with aggressively capitalized incumbents; coding competitors (Cursor, Devin) and video competitors (Runway, Sora) possess massive compute and R&amp;D moats.</w:t>
            </w:r>
          </w:p>
          <w:p>
            <w:pPr>
              <w:pStyle w:val="ListParagraph"/>
              <w:numPr>
                <w:ilvl w:val="0"/>
                <w:numId w:val="1"/>
              </w:numPr>
              <w:spacing w:after="60"/>
            </w:pPr>
            <w:r>
              <w:rPr>
                <w:rFonts w:ascii="Segoe UI" w:cs="Segoe UI" w:eastAsia="Segoe UI" w:hAnsi="Segoe UI"/>
                <w:color w:val="C4C9D4"/>
                <w:sz w:val="19"/>
                <w:szCs w:val="19"/>
              </w:rPr>
              <w:t xml:space="preserve">Potential user experience friction if the asynchronous 'handoff' model of ADT fails to offer the immediate, iterative feedback loop favored by 85% of developers using inline AI tools.</w:t>
            </w:r>
          </w:p>
          <w:p>
            <w:pPr>
              <w:pStyle w:val="ListParagraph"/>
              <w:numPr>
                <w:ilvl w:val="0"/>
                <w:numId w:val="1"/>
              </w:numPr>
              <w:spacing w:after="60"/>
            </w:pPr>
            <w:r>
              <w:rPr>
                <w:rFonts w:ascii="Segoe UI" w:cs="Segoe UI" w:eastAsia="Segoe UI" w:hAnsi="Segoe UI"/>
                <w:color w:val="C4C9D4"/>
                <w:sz w:val="19"/>
                <w:szCs w:val="19"/>
              </w:rPr>
              <w:t xml:space="preserve">Brand positioning split between creative media generation and hard software engineering, potentially diluting the core value proposition for enterprise technical buyers.</w:t>
            </w:r>
          </w:p>
        </w:tc>
      </w:tr>
      <w:tr>
        <w:tc>
          <w:tcPr>
            <w:tcW w:type="pct" w:w="50%"/>
            <w:tcBorders>
              <w:top w:val="single" w:color="0284C7" w:sz="3"/>
              <w:left w:val="single" w:color="2D3348" w:sz="1"/>
              <w:bottom w:val="single" w:color="2D3348" w:sz="1"/>
              <w:right w:val="single" w:color="2D3348" w:sz="1"/>
            </w:tcBorders>
            <w:tcMar>
              <w:top w:type="dxa" w:w="144"/>
              <w:left w:type="dxa" w:w="172"/>
              <w:bottom w:type="dxa" w:w="144"/>
              <w:right w:type="dxa" w:w="172"/>
            </w:tcMar>
          </w:tcPr>
          <w:p>
            <w:pPr>
              <w:spacing w:after="100"/>
            </w:pPr>
            <w:r>
              <w:rPr>
                <w:rFonts w:ascii="Segoe UI" w:cs="Segoe UI" w:eastAsia="Segoe UI" w:hAnsi="Segoe UI"/>
                <w:b/>
                <w:bCs/>
                <w:color w:val="0284C7"/>
                <w:sz w:val="20"/>
                <w:szCs w:val="20"/>
              </w:rPr>
              <w:t xml:space="preserve">OPPORTUNITIES</w:t>
            </w:r>
          </w:p>
          <w:p>
            <w:pPr>
              <w:pStyle w:val="ListParagraph"/>
              <w:numPr>
                <w:ilvl w:val="0"/>
                <w:numId w:val="1"/>
              </w:numPr>
              <w:spacing w:after="60"/>
            </w:pPr>
            <w:r>
              <w:rPr>
                <w:rFonts w:ascii="Segoe UI" w:cs="Segoe UI" w:eastAsia="Segoe UI" w:hAnsi="Segoe UI"/>
                <w:color w:val="C4C9D4"/>
                <w:sz w:val="19"/>
                <w:szCs w:val="19"/>
              </w:rPr>
              <w:t xml:space="preserve">Capitalizing on the 'agent washing' backlash by transparently proving true multi-step autonomous capabilities, distinguishing Glyphor from the 80%+ of vendors categorized as rebranded chatbots.</w:t>
            </w:r>
          </w:p>
          <w:p>
            <w:pPr>
              <w:pStyle w:val="ListParagraph"/>
              <w:numPr>
                <w:ilvl w:val="0"/>
                <w:numId w:val="1"/>
              </w:numPr>
              <w:spacing w:after="60"/>
            </w:pPr>
            <w:r>
              <w:rPr>
                <w:rFonts w:ascii="Segoe UI" w:cs="Segoe UI" w:eastAsia="Segoe UI" w:hAnsi="Segoe UI"/>
                <w:color w:val="C4C9D4"/>
                <w:sz w:val="19"/>
                <w:szCs w:val="19"/>
              </w:rPr>
              <w:t xml:space="preserve">Targeting the legacy modernization and technical debt reduction market, which requires the exact asynchronous, context-heavy automation that Glyphor ADT is designed for.</w:t>
            </w:r>
          </w:p>
          <w:p>
            <w:pPr>
              <w:pStyle w:val="ListParagraph"/>
              <w:numPr>
                <w:ilvl w:val="0"/>
                <w:numId w:val="1"/>
              </w:numPr>
              <w:spacing w:after="60"/>
            </w:pPr>
            <w:r>
              <w:rPr>
                <w:rFonts w:ascii="Segoe UI" w:cs="Segoe UI" w:eastAsia="Segoe UI" w:hAnsi="Segoe UI"/>
                <w:color w:val="C4C9D4"/>
                <w:sz w:val="19"/>
                <w:szCs w:val="19"/>
              </w:rPr>
              <w:t xml:space="preserve">Capturing the enterprise shift toward 'agentic workflow orchestration' in 2026, where 81% of organizations plan to deploy multi-agent systems for complex, cross-functional projects.</w:t>
            </w:r>
          </w:p>
          <w:p>
            <w:pPr>
              <w:pStyle w:val="ListParagraph"/>
              <w:numPr>
                <w:ilvl w:val="0"/>
                <w:numId w:val="1"/>
              </w:numPr>
              <w:spacing w:after="60"/>
            </w:pPr>
            <w:r>
              <w:rPr>
                <w:rFonts w:ascii="Segoe UI" w:cs="Segoe UI" w:eastAsia="Segoe UI" w:hAnsi="Segoe UI"/>
                <w:color w:val="C4C9D4"/>
                <w:sz w:val="19"/>
                <w:szCs w:val="19"/>
              </w:rPr>
              <w:t xml:space="preserve">Leveraging Glyphor Pulse's '100+ viral templates' to capture the high-velocity, low-barrier creator market while utilizing the revenue to fund deep-tech ADT research.</w:t>
            </w:r>
          </w:p>
        </w:tc>
        <w:tc>
          <w:tcPr>
            <w:tcW w:type="pct" w:w="50%"/>
            <w:tcBorders>
              <w:top w:val="single" w:color="D97706" w:sz="3"/>
              <w:left w:val="single" w:color="2D3348" w:sz="1"/>
              <w:bottom w:val="single" w:color="2D3348" w:sz="1"/>
              <w:right w:val="single" w:color="2D3348" w:sz="1"/>
            </w:tcBorders>
            <w:tcMar>
              <w:top w:type="dxa" w:w="144"/>
              <w:left w:type="dxa" w:w="172"/>
              <w:bottom w:type="dxa" w:w="144"/>
              <w:right w:type="dxa" w:w="172"/>
            </w:tcMar>
          </w:tcPr>
          <w:p>
            <w:pPr>
              <w:spacing w:after="100"/>
            </w:pPr>
            <w:r>
              <w:rPr>
                <w:rFonts w:ascii="Segoe UI" w:cs="Segoe UI" w:eastAsia="Segoe UI" w:hAnsi="Segoe UI"/>
                <w:b/>
                <w:bCs/>
                <w:color w:val="D97706"/>
                <w:sz w:val="20"/>
                <w:szCs w:val="20"/>
              </w:rPr>
              <w:t xml:space="preserve">THREATS</w:t>
            </w:r>
          </w:p>
          <w:p>
            <w:pPr>
              <w:pStyle w:val="ListParagraph"/>
              <w:numPr>
                <w:ilvl w:val="0"/>
                <w:numId w:val="1"/>
              </w:numPr>
              <w:spacing w:after="60"/>
            </w:pPr>
            <w:r>
              <w:rPr>
                <w:rFonts w:ascii="Segoe UI" w:cs="Segoe UI" w:eastAsia="Segoe UI" w:hAnsi="Segoe UI"/>
                <w:color w:val="C4C9D4"/>
                <w:sz w:val="19"/>
                <w:szCs w:val="19"/>
              </w:rPr>
              <w:t xml:space="preserve">The impending 'Trough of Disillusionment' and Gartner's projected 40% enterprise project cancellation rate, which may temporarily freeze B2B procurement budgets for autonomous platforms.</w:t>
            </w:r>
          </w:p>
          <w:p>
            <w:pPr>
              <w:pStyle w:val="ListParagraph"/>
              <w:numPr>
                <w:ilvl w:val="0"/>
                <w:numId w:val="1"/>
              </w:numPr>
              <w:spacing w:after="60"/>
            </w:pPr>
            <w:r>
              <w:rPr>
                <w:rFonts w:ascii="Segoe UI" w:cs="Segoe UI" w:eastAsia="Segoe UI" w:hAnsi="Segoe UI"/>
                <w:color w:val="C4C9D4"/>
                <w:sz w:val="19"/>
                <w:szCs w:val="19"/>
              </w:rPr>
              <w:t xml:space="preserve">Rapid feature commoditization by hyperscalers (e.g., GitHub Copilot, Microsoft Azure AI, Google Veo) who can bundle agentic capabilities into existing enterprise agreements at zero marginal cost.</w:t>
            </w:r>
          </w:p>
          <w:p>
            <w:pPr>
              <w:pStyle w:val="ListParagraph"/>
              <w:numPr>
                <w:ilvl w:val="0"/>
                <w:numId w:val="1"/>
              </w:numPr>
              <w:spacing w:after="60"/>
            </w:pPr>
            <w:r>
              <w:rPr>
                <w:rFonts w:ascii="Segoe UI" w:cs="Segoe UI" w:eastAsia="Segoe UI" w:hAnsi="Segoe UI"/>
                <w:color w:val="C4C9D4"/>
                <w:sz w:val="19"/>
                <w:szCs w:val="19"/>
              </w:rPr>
              <w:t xml:space="preserve">Inherent technological limitations of current LLMs, such as 'agentic amnesia' and compounding error rates in long-horizon tasks (estimated at a 32% success rate for 5-step tasks).</w:t>
            </w:r>
          </w:p>
          <w:p>
            <w:pPr>
              <w:pStyle w:val="ListParagraph"/>
              <w:numPr>
                <w:ilvl w:val="0"/>
                <w:numId w:val="1"/>
              </w:numPr>
              <w:spacing w:after="60"/>
            </w:pPr>
            <w:r>
              <w:rPr>
                <w:rFonts w:ascii="Segoe UI" w:cs="Segoe UI" w:eastAsia="Segoe UI" w:hAnsi="Segoe UI"/>
                <w:color w:val="C4C9D4"/>
                <w:sz w:val="19"/>
                <w:szCs w:val="19"/>
              </w:rPr>
              <w:t xml:space="preserve">Market concentration dynamics where the top 3 AI coding players currently capture over 70% of the market share, leaving a narrow wedge for emerging platforms.</w:t>
            </w:r>
          </w:p>
        </w:tc>
      </w:tr>
    </w:tbl>
    <w:p>
      <w:pPr>
        <w:pBdr>
          <w:top w:val="single" w:color="00E0FF" w:sz="6" w:space="8"/>
        </w:pBdr>
        <w:spacing w:before="480" w:after="40"/>
      </w:pPr>
    </w:p>
    <w:p>
      <w:pPr>
        <w:pStyle w:val="Heading1"/>
        <w:spacing w:before="0" w:after="200"/>
      </w:pPr>
      <w:r>
        <w:rPr>
          <w:rFonts w:ascii="Segoe UI" w:cs="Segoe UI" w:eastAsia="Segoe UI" w:hAnsi="Segoe UI"/>
          <w:b/>
          <w:bCs/>
          <w:color w:val="00E0FF"/>
          <w:sz w:val="28"/>
          <w:szCs w:val="28"/>
        </w:rPr>
        <w:t xml:space="preserve">Strategic Recommendations</w:t>
      </w:r>
    </w:p>
    <w:p>
      <w:pPr>
        <w:spacing w:before="240" w:after="80"/>
      </w:pPr>
      <w:r>
        <w:rPr>
          <w:rFonts w:ascii="Segoe UI" w:cs="Segoe UI" w:eastAsia="Segoe UI" w:hAnsi="Segoe UI"/>
          <w:b/>
          <w:bCs/>
          <w:color w:val="00E0FF"/>
          <w:sz w:val="22"/>
          <w:szCs w:val="22"/>
        </w:rPr>
        <w:t xml:space="preserve">1. </w:t>
      </w:r>
      <w:r>
        <w:rPr>
          <w:rFonts w:ascii="Segoe UI" w:cs="Segoe UI" w:eastAsia="Segoe UI" w:hAnsi="Segoe UI"/>
          <w:b/>
          <w:bCs/>
          <w:color w:val="E5E7EB"/>
          <w:sz w:val="22"/>
          <w:szCs w:val="22"/>
        </w:rPr>
        <w:t xml:space="preserve">Publish Open and Verified Benchmark Performance Data</w:t>
      </w:r>
      <w:r>
        <w:rPr>
          <w:rFonts w:ascii="Segoe UI" w:cs="Segoe UI" w:eastAsia="Segoe UI" w:hAnsi="Segoe UI"/>
          <w:b/>
          <w:bCs/>
          <w:color w:val="DC2626"/>
          <w:sz w:val="18"/>
          <w:szCs w:val="18"/>
        </w:rPr>
        <w:t xml:space="preserve">  [HIGH IMPACT]</w:t>
      </w:r>
    </w:p>
    <w:p>
      <w:pPr>
        <w:spacing w:after="60"/>
        <w:ind w:left="431"/>
      </w:pPr>
      <w:r>
        <w:rPr>
          <w:rFonts w:ascii="Segoe UI" w:cs="Segoe UI" w:eastAsia="Segoe UI" w:hAnsi="Segoe UI"/>
          <w:color w:val="C4C9D4"/>
          <w:sz w:val="21"/>
          <w:szCs w:val="21"/>
        </w:rPr>
        <w:t xml:space="preserve">Conduct and publish rigorous, third-party verified benchmarking for Glyphor ADT against industry standards like SWE-bench. Since these metrics are currently unavailable, filling this void is critical for establishing baseline credibility against Cognition's Devin and Anthropic's Claude Code.</w:t>
      </w:r>
    </w:p>
    <w:p>
      <w:pPr>
        <w:spacing w:after="40"/>
        <w:ind w:left="431"/>
      </w:pPr>
      <w:r>
        <w:rPr>
          <w:rFonts w:ascii="Segoe UI" w:cs="Segoe UI" w:eastAsia="Segoe UI" w:hAnsi="Segoe UI"/>
          <w:b/>
          <w:bCs/>
          <w:color w:val="9CA3AF"/>
          <w:sz w:val="18"/>
          <w:szCs w:val="18"/>
        </w:rPr>
        <w:t xml:space="preserve">Owner: </w:t>
      </w:r>
      <w:r>
        <w:rPr>
          <w:rFonts w:ascii="Segoe UI" w:cs="Segoe UI" w:eastAsia="Segoe UI" w:hAnsi="Segoe UI"/>
          <w:color w:val="D1D5DB"/>
          <w:sz w:val="18"/>
          <w:szCs w:val="18"/>
        </w:rPr>
        <w:t xml:space="preserve">VP of Engineering</w:t>
      </w:r>
      <w:r>
        <w:rPr>
          <w:rFonts w:ascii="Segoe UI" w:cs="Segoe UI" w:eastAsia="Segoe UI" w:hAnsi="Segoe UI"/>
          <w:b/>
          <w:bCs/>
          <w:color w:val="9CA3AF"/>
          <w:sz w:val="18"/>
          <w:szCs w:val="18"/>
        </w:rPr>
        <w:t xml:space="preserve">  ·  Expected: </w:t>
      </w:r>
      <w:r>
        <w:rPr>
          <w:rFonts w:ascii="Segoe UI" w:cs="Segoe UI" w:eastAsia="Segoe UI" w:hAnsi="Segoe UI"/>
          <w:color w:val="D1D5DB"/>
          <w:sz w:val="18"/>
          <w:szCs w:val="18"/>
        </w:rPr>
        <w:t xml:space="preserve">Validation of ADT capabilities, generating technical trust and unblocking evaluations by senior engineering buyers.</w:t>
      </w:r>
    </w:p>
    <w:p>
      <w:pPr>
        <w:spacing w:after="120"/>
        <w:ind w:left="431"/>
      </w:pPr>
      <w:r>
        <w:rPr>
          <w:rFonts w:ascii="Segoe UI" w:cs="Segoe UI" w:eastAsia="Segoe UI" w:hAnsi="Segoe UI"/>
          <w:color w:val="DC2626"/>
          <w:sz w:val="18"/>
          <w:szCs w:val="18"/>
        </w:rPr>
        <w:t xml:space="preserve">Risk if not: Loss of credibility and automatic disqualification by enterprise procurement teams who rely on objective benchmarks to filter out 'agent washing'.</w:t>
      </w:r>
    </w:p>
    <w:p>
      <w:pPr>
        <w:spacing w:before="240" w:after="80"/>
      </w:pPr>
      <w:r>
        <w:rPr>
          <w:rFonts w:ascii="Segoe UI" w:cs="Segoe UI" w:eastAsia="Segoe UI" w:hAnsi="Segoe UI"/>
          <w:b/>
          <w:bCs/>
          <w:color w:val="00E0FF"/>
          <w:sz w:val="22"/>
          <w:szCs w:val="22"/>
        </w:rPr>
        <w:t xml:space="preserve">2. </w:t>
      </w:r>
      <w:r>
        <w:rPr>
          <w:rFonts w:ascii="Segoe UI" w:cs="Segoe UI" w:eastAsia="Segoe UI" w:hAnsi="Segoe UI"/>
          <w:b/>
          <w:bCs/>
          <w:color w:val="E5E7EB"/>
          <w:sz w:val="22"/>
          <w:szCs w:val="22"/>
        </w:rPr>
        <w:t xml:space="preserve">Develop 'Anti-Agent Washing' Enterprise Guarantees</w:t>
      </w:r>
      <w:r>
        <w:rPr>
          <w:rFonts w:ascii="Segoe UI" w:cs="Segoe UI" w:eastAsia="Segoe UI" w:hAnsi="Segoe UI"/>
          <w:b/>
          <w:bCs/>
          <w:color w:val="DC2626"/>
          <w:sz w:val="18"/>
          <w:szCs w:val="18"/>
        </w:rPr>
        <w:t xml:space="preserve">  [HIGH IMPACT]</w:t>
      </w:r>
    </w:p>
    <w:p>
      <w:pPr>
        <w:spacing w:after="60"/>
        <w:ind w:left="431"/>
      </w:pPr>
      <w:r>
        <w:rPr>
          <w:rFonts w:ascii="Segoe UI" w:cs="Segoe UI" w:eastAsia="Segoe UI" w:hAnsi="Segoe UI"/>
          <w:color w:val="C4C9D4"/>
          <w:sz w:val="21"/>
          <w:szCs w:val="21"/>
        </w:rPr>
        <w:t xml:space="preserve">Create a commercial framework that guarantees specific SLA and ROI outcomes for legacy refactoring and CI/CD integration, proving true multi-step autonomous capability rather than single-prompt automation.</w:t>
      </w:r>
    </w:p>
    <w:p>
      <w:pPr>
        <w:spacing w:after="40"/>
        <w:ind w:left="431"/>
      </w:pPr>
      <w:r>
        <w:rPr>
          <w:rFonts w:ascii="Segoe UI" w:cs="Segoe UI" w:eastAsia="Segoe UI" w:hAnsi="Segoe UI"/>
          <w:b/>
          <w:bCs/>
          <w:color w:val="9CA3AF"/>
          <w:sz w:val="18"/>
          <w:szCs w:val="18"/>
        </w:rPr>
        <w:t xml:space="preserve">Owner: </w:t>
      </w:r>
      <w:r>
        <w:rPr>
          <w:rFonts w:ascii="Segoe UI" w:cs="Segoe UI" w:eastAsia="Segoe UI" w:hAnsi="Segoe UI"/>
          <w:color w:val="D1D5DB"/>
          <w:sz w:val="18"/>
          <w:szCs w:val="18"/>
        </w:rPr>
        <w:t xml:space="preserve">CRO / Head of Sales</w:t>
      </w:r>
      <w:r>
        <w:rPr>
          <w:rFonts w:ascii="Segoe UI" w:cs="Segoe UI" w:eastAsia="Segoe UI" w:hAnsi="Segoe UI"/>
          <w:b/>
          <w:bCs/>
          <w:color w:val="9CA3AF"/>
          <w:sz w:val="18"/>
          <w:szCs w:val="18"/>
        </w:rPr>
        <w:t xml:space="preserve">  ·  Expected: </w:t>
      </w:r>
      <w:r>
        <w:rPr>
          <w:rFonts w:ascii="Segoe UI" w:cs="Segoe UI" w:eastAsia="Segoe UI" w:hAnsi="Segoe UI"/>
          <w:color w:val="D1D5DB"/>
          <w:sz w:val="18"/>
          <w:szCs w:val="18"/>
        </w:rPr>
        <w:t xml:space="preserve">Accelerated procurement in Fortune 500s, positioning Glyphor as the mature, risk-mitigated choice in a hyped market.</w:t>
      </w:r>
    </w:p>
    <w:p>
      <w:pPr>
        <w:spacing w:after="120"/>
        <w:ind w:left="431"/>
      </w:pPr>
      <w:r>
        <w:rPr>
          <w:rFonts w:ascii="Segoe UI" w:cs="Segoe UI" w:eastAsia="Segoe UI" w:hAnsi="Segoe UI"/>
          <w:color w:val="DC2626"/>
          <w:sz w:val="18"/>
          <w:szCs w:val="18"/>
        </w:rPr>
        <w:t xml:space="preserve">Risk if not: Being grouped into Gartner's 40% failure statistic, leading to stalled deployment pipelines and high churn.</w:t>
      </w:r>
    </w:p>
    <w:p>
      <w:pPr>
        <w:spacing w:before="240" w:after="80"/>
      </w:pPr>
      <w:r>
        <w:rPr>
          <w:rFonts w:ascii="Segoe UI" w:cs="Segoe UI" w:eastAsia="Segoe UI" w:hAnsi="Segoe UI"/>
          <w:b/>
          <w:bCs/>
          <w:color w:val="00E0FF"/>
          <w:sz w:val="22"/>
          <w:szCs w:val="22"/>
        </w:rPr>
        <w:t xml:space="preserve">3. </w:t>
      </w:r>
      <w:r>
        <w:rPr>
          <w:rFonts w:ascii="Segoe UI" w:cs="Segoe UI" w:eastAsia="Segoe UI" w:hAnsi="Segoe UI"/>
          <w:b/>
          <w:bCs/>
          <w:color w:val="E5E7EB"/>
          <w:sz w:val="22"/>
          <w:szCs w:val="22"/>
        </w:rPr>
        <w:t xml:space="preserve">Implement an Interactive 'Human-in-the-Loop' Fallback UX</w:t>
      </w:r>
      <w:r>
        <w:rPr>
          <w:rFonts w:ascii="Segoe UI" w:cs="Segoe UI" w:eastAsia="Segoe UI" w:hAnsi="Segoe UI"/>
          <w:b/>
          <w:bCs/>
          <w:color w:val="D97706"/>
          <w:sz w:val="18"/>
          <w:szCs w:val="18"/>
        </w:rPr>
        <w:t xml:space="preserve">  [MEDIUM IMPACT]</w:t>
      </w:r>
    </w:p>
    <w:p>
      <w:pPr>
        <w:spacing w:after="60"/>
        <w:ind w:left="431"/>
      </w:pPr>
      <w:r>
        <w:rPr>
          <w:rFonts w:ascii="Segoe UI" w:cs="Segoe UI" w:eastAsia="Segoe UI" w:hAnsi="Segoe UI"/>
          <w:color w:val="C4C9D4"/>
          <w:sz w:val="21"/>
          <w:szCs w:val="21"/>
        </w:rPr>
        <w:t xml:space="preserve">Bridge the gap between Cursor's inline editing and Devin's full autonomy by allowing developers to transparently monitor, pause, and inject logic into ADT's real-time reasoning and execution paths.</w:t>
      </w:r>
    </w:p>
    <w:p>
      <w:pPr>
        <w:spacing w:after="40"/>
        <w:ind w:left="431"/>
      </w:pPr>
      <w:r>
        <w:rPr>
          <w:rFonts w:ascii="Segoe UI" w:cs="Segoe UI" w:eastAsia="Segoe UI" w:hAnsi="Segoe UI"/>
          <w:b/>
          <w:bCs/>
          <w:color w:val="9CA3AF"/>
          <w:sz w:val="18"/>
          <w:szCs w:val="18"/>
        </w:rPr>
        <w:t xml:space="preserve">Owner: </w:t>
      </w:r>
      <w:r>
        <w:rPr>
          <w:rFonts w:ascii="Segoe UI" w:cs="Segoe UI" w:eastAsia="Segoe UI" w:hAnsi="Segoe UI"/>
          <w:color w:val="D1D5DB"/>
          <w:sz w:val="18"/>
          <w:szCs w:val="18"/>
        </w:rPr>
        <w:t xml:space="preserve">Head of Product</w:t>
      </w:r>
      <w:r>
        <w:rPr>
          <w:rFonts w:ascii="Segoe UI" w:cs="Segoe UI" w:eastAsia="Segoe UI" w:hAnsi="Segoe UI"/>
          <w:b/>
          <w:bCs/>
          <w:color w:val="9CA3AF"/>
          <w:sz w:val="18"/>
          <w:szCs w:val="18"/>
        </w:rPr>
        <w:t xml:space="preserve">  ·  Expected: </w:t>
      </w:r>
      <w:r>
        <w:rPr>
          <w:rFonts w:ascii="Segoe UI" w:cs="Segoe UI" w:eastAsia="Segoe UI" w:hAnsi="Segoe UI"/>
          <w:color w:val="D1D5DB"/>
          <w:sz w:val="18"/>
          <w:szCs w:val="18"/>
        </w:rPr>
        <w:t xml:space="preserve">Increased developer trust and faster bottom-up adoption by teams hesitant to completely delegate architectural code creation.</w:t>
      </w:r>
    </w:p>
    <w:p>
      <w:pPr>
        <w:spacing w:after="120"/>
        <w:ind w:left="431"/>
      </w:pPr>
      <w:r>
        <w:rPr>
          <w:rFonts w:ascii="Segoe UI" w:cs="Segoe UI" w:eastAsia="Segoe UI" w:hAnsi="Segoe UI"/>
          <w:color w:val="DC2626"/>
          <w:sz w:val="18"/>
          <w:szCs w:val="18"/>
        </w:rPr>
        <w:t xml:space="preserve">Risk if not: High adoption friction due to developers rejecting the 'black box' nature of complete loss of control over codebase architecture.</w:t>
      </w:r>
    </w:p>
    <w:p>
      <w:pPr>
        <w:spacing w:before="240" w:after="80"/>
      </w:pPr>
      <w:r>
        <w:rPr>
          <w:rFonts w:ascii="Segoe UI" w:cs="Segoe UI" w:eastAsia="Segoe UI" w:hAnsi="Segoe UI"/>
          <w:b/>
          <w:bCs/>
          <w:color w:val="00E0FF"/>
          <w:sz w:val="22"/>
          <w:szCs w:val="22"/>
        </w:rPr>
        <w:t xml:space="preserve">4. </w:t>
      </w:r>
      <w:r>
        <w:rPr>
          <w:rFonts w:ascii="Segoe UI" w:cs="Segoe UI" w:eastAsia="Segoe UI" w:hAnsi="Segoe UI"/>
          <w:b/>
          <w:bCs/>
          <w:color w:val="E5E7EB"/>
          <w:sz w:val="22"/>
          <w:szCs w:val="22"/>
        </w:rPr>
        <w:t xml:space="preserve">Niche Domination in Legacy Data Ecosystems</w:t>
      </w:r>
      <w:r>
        <w:rPr>
          <w:rFonts w:ascii="Segoe UI" w:cs="Segoe UI" w:eastAsia="Segoe UI" w:hAnsi="Segoe UI"/>
          <w:b/>
          <w:bCs/>
          <w:color w:val="D97706"/>
          <w:sz w:val="18"/>
          <w:szCs w:val="18"/>
        </w:rPr>
        <w:t xml:space="preserve">  [MEDIUM IMPACT]</w:t>
      </w:r>
    </w:p>
    <w:p>
      <w:pPr>
        <w:spacing w:after="60"/>
        <w:ind w:left="431"/>
      </w:pPr>
      <w:r>
        <w:rPr>
          <w:rFonts w:ascii="Segoe UI" w:cs="Segoe UI" w:eastAsia="Segoe UI" w:hAnsi="Segoe UI"/>
          <w:color w:val="C4C9D4"/>
          <w:sz w:val="21"/>
          <w:szCs w:val="21"/>
        </w:rPr>
        <w:t xml:space="preserve">Double down on the GTM strategy targeting the stabilization and refactoring of Oracle, SAP, and Snowflake data ecosystems, as highlighted in current company literature. Build specialized agentic workflows specifically for these rigid environments.</w:t>
      </w:r>
    </w:p>
    <w:p>
      <w:pPr>
        <w:spacing w:after="40"/>
        <w:ind w:left="431"/>
      </w:pPr>
      <w:r>
        <w:rPr>
          <w:rFonts w:ascii="Segoe UI" w:cs="Segoe UI" w:eastAsia="Segoe UI" w:hAnsi="Segoe UI"/>
          <w:b/>
          <w:bCs/>
          <w:color w:val="9CA3AF"/>
          <w:sz w:val="18"/>
          <w:szCs w:val="18"/>
        </w:rPr>
        <w:t xml:space="preserve">Owner: </w:t>
      </w:r>
      <w:r>
        <w:rPr>
          <w:rFonts w:ascii="Segoe UI" w:cs="Segoe UI" w:eastAsia="Segoe UI" w:hAnsi="Segoe UI"/>
          <w:color w:val="D1D5DB"/>
          <w:sz w:val="18"/>
          <w:szCs w:val="18"/>
        </w:rPr>
        <w:t xml:space="preserve">Head of Go-To-Market</w:t>
      </w:r>
      <w:r>
        <w:rPr>
          <w:rFonts w:ascii="Segoe UI" w:cs="Segoe UI" w:eastAsia="Segoe UI" w:hAnsi="Segoe UI"/>
          <w:b/>
          <w:bCs/>
          <w:color w:val="9CA3AF"/>
          <w:sz w:val="18"/>
          <w:szCs w:val="18"/>
        </w:rPr>
        <w:t xml:space="preserve">  ·  Expected: </w:t>
      </w:r>
      <w:r>
        <w:rPr>
          <w:rFonts w:ascii="Segoe UI" w:cs="Segoe UI" w:eastAsia="Segoe UI" w:hAnsi="Segoe UI"/>
          <w:color w:val="D1D5DB"/>
          <w:sz w:val="18"/>
          <w:szCs w:val="18"/>
        </w:rPr>
        <w:t xml:space="preserve">Rapid capture of high-LTV enterprise accounts desperate to modernize technical debt without expanding human headcount.</w:t>
      </w:r>
    </w:p>
    <w:p>
      <w:pPr>
        <w:spacing w:after="120"/>
        <w:ind w:left="431"/>
      </w:pPr>
      <w:r>
        <w:rPr>
          <w:rFonts w:ascii="Segoe UI" w:cs="Segoe UI" w:eastAsia="Segoe UI" w:hAnsi="Segoe UI"/>
          <w:color w:val="DC2626"/>
          <w:sz w:val="18"/>
          <w:szCs w:val="18"/>
        </w:rPr>
        <w:t xml:space="preserve">Risk if not: Getting lost in the noise of general-purpose web development coding agents, where open-source tools and hyperscalers dominate.</w:t>
      </w:r>
    </w:p>
    <w:p>
      <w:pPr>
        <w:pBdr>
          <w:top w:val="single" w:color="DC2626" w:sz="6" w:space="8"/>
        </w:pBdr>
        <w:spacing w:before="480" w:after="40"/>
      </w:pPr>
    </w:p>
    <w:p>
      <w:pPr>
        <w:pStyle w:val="Heading1"/>
        <w:spacing w:before="0" w:after="200"/>
      </w:pPr>
      <w:r>
        <w:rPr>
          <w:rFonts w:ascii="Segoe UI" w:cs="Segoe UI" w:eastAsia="Segoe UI" w:hAnsi="Segoe UI"/>
          <w:b/>
          <w:bCs/>
          <w:color w:val="DC2626"/>
          <w:sz w:val="28"/>
          <w:szCs w:val="28"/>
        </w:rPr>
        <w:t xml:space="preserve">Key Risks</w:t>
      </w:r>
    </w:p>
    <w:p>
      <w:pPr>
        <w:pStyle w:val="ListParagraph"/>
        <w:numPr>
          <w:ilvl w:val="0"/>
          <w:numId w:val="1"/>
        </w:numPr>
        <w:spacing w:after="80"/>
      </w:pPr>
      <w:r>
        <w:rPr>
          <w:rFonts w:ascii="Segoe UI" w:cs="Segoe UI" w:eastAsia="Segoe UI" w:hAnsi="Segoe UI"/>
          <w:color w:val="555555"/>
          <w:sz w:val="21"/>
          <w:szCs w:val="21"/>
        </w:rPr>
        <w:t xml:space="preserve">Severe market consolidation: The top 3 AI coding agents currently capture over 70% of market share, creating an oligopoly that is highly resistant to new entrants lacking massive war chests.</w:t>
      </w:r>
    </w:p>
    <w:p>
      <w:pPr>
        <w:pStyle w:val="ListParagraph"/>
        <w:numPr>
          <w:ilvl w:val="0"/>
          <w:numId w:val="1"/>
        </w:numPr>
        <w:spacing w:after="80"/>
      </w:pPr>
      <w:r>
        <w:rPr>
          <w:rFonts w:ascii="Segoe UI" w:cs="Segoe UI" w:eastAsia="Segoe UI" w:hAnsi="Segoe UI"/>
          <w:color w:val="555555"/>
          <w:sz w:val="21"/>
          <w:szCs w:val="21"/>
        </w:rPr>
        <w:t xml:space="preserve">Macro enterprise hesitation driven by the Gartner 2027 forecast, high hallucination rates, and the intense complexity of integrating autonomous agents into bespoke legacy CI/CD pipelines.</w:t>
      </w:r>
    </w:p>
    <w:p>
      <w:pPr>
        <w:pStyle w:val="ListParagraph"/>
        <w:numPr>
          <w:ilvl w:val="0"/>
          <w:numId w:val="1"/>
        </w:numPr>
        <w:spacing w:after="80"/>
      </w:pPr>
      <w:r>
        <w:rPr>
          <w:rFonts w:ascii="Segoe UI" w:cs="Segoe UI" w:eastAsia="Segoe UI" w:hAnsi="Segoe UI"/>
          <w:color w:val="555555"/>
          <w:sz w:val="21"/>
          <w:szCs w:val="21"/>
        </w:rPr>
        <w:t xml:space="preserve">Cost of continuous compute: The inference costs associated with running a '24/7 full-stack AI dev team' could erode gross margins if not properly optimized and priced against human developer equivalents.</w:t>
      </w:r>
    </w:p>
    <w:p>
      <w:pPr>
        <w:pStyle w:val="ListParagraph"/>
        <w:numPr>
          <w:ilvl w:val="0"/>
          <w:numId w:val="1"/>
        </w:numPr>
        <w:spacing w:after="80"/>
      </w:pPr>
      <w:r>
        <w:rPr>
          <w:rFonts w:ascii="Segoe UI" w:cs="Segoe UI" w:eastAsia="Segoe UI" w:hAnsi="Segoe UI"/>
          <w:color w:val="555555"/>
          <w:sz w:val="21"/>
          <w:szCs w:val="21"/>
        </w:rPr>
        <w:t xml:space="preserve">Intellectual property and security vulnerabilities: Autonomous code execution introduces systemic risks regarding agent hijacking, data exfiltration, and the insertion of insecure code patterns.</w:t>
      </w:r>
    </w:p>
    <w:p>
      <w:pPr>
        <w:pBdr>
          <w:top w:val="single" w:color="D97706" w:sz="6" w:space="8"/>
        </w:pBdr>
        <w:spacing w:before="480" w:after="40"/>
      </w:pPr>
    </w:p>
    <w:p>
      <w:pPr>
        <w:pStyle w:val="Heading1"/>
        <w:spacing w:before="0" w:after="200"/>
      </w:pPr>
      <w:r>
        <w:rPr>
          <w:rFonts w:ascii="Segoe UI" w:cs="Segoe UI" w:eastAsia="Segoe UI" w:hAnsi="Segoe UI"/>
          <w:b/>
          <w:bCs/>
          <w:color w:val="D97706"/>
          <w:sz w:val="28"/>
          <w:szCs w:val="28"/>
        </w:rPr>
        <w:t xml:space="preserve">Open Questions for Founders</w:t>
      </w:r>
    </w:p>
    <w:p>
      <w:pPr>
        <w:pStyle w:val="ListParagraph"/>
        <w:numPr>
          <w:ilvl w:val="0"/>
          <w:numId w:val="1"/>
        </w:numPr>
        <w:spacing w:after="80"/>
      </w:pPr>
      <w:r>
        <w:rPr>
          <w:rFonts w:ascii="Segoe UI" w:cs="Segoe UI" w:eastAsia="Segoe UI" w:hAnsi="Segoe UI"/>
          <w:color w:val="555555"/>
          <w:sz w:val="21"/>
          <w:szCs w:val="21"/>
        </w:rPr>
        <w:t xml:space="preserve">What are the precise, verified SWE-bench scores or equivalent objective performance metrics for Glyphor ADT, as these are currently unavailable to the wider market?</w:t>
      </w:r>
    </w:p>
    <w:p>
      <w:pPr>
        <w:pStyle w:val="ListParagraph"/>
        <w:numPr>
          <w:ilvl w:val="0"/>
          <w:numId w:val="1"/>
        </w:numPr>
        <w:spacing w:after="80"/>
      </w:pPr>
      <w:r>
        <w:rPr>
          <w:rFonts w:ascii="Segoe UI" w:cs="Segoe UI" w:eastAsia="Segoe UI" w:hAnsi="Segoe UI"/>
          <w:color w:val="555555"/>
          <w:sz w:val="21"/>
          <w:szCs w:val="21"/>
        </w:rPr>
        <w:t xml:space="preserve">Does the strategic roadmap prioritize top-down enterprise sales focused on governance/security (competing against System Integrators), or bottom-up product-led growth targeting individual developers (competing against Cursor)?</w:t>
      </w:r>
    </w:p>
    <w:p>
      <w:pPr>
        <w:pStyle w:val="ListParagraph"/>
        <w:numPr>
          <w:ilvl w:val="0"/>
          <w:numId w:val="1"/>
        </w:numPr>
        <w:spacing w:after="80"/>
      </w:pPr>
      <w:r>
        <w:rPr>
          <w:rFonts w:ascii="Segoe UI" w:cs="Segoe UI" w:eastAsia="Segoe UI" w:hAnsi="Segoe UI"/>
          <w:color w:val="555555"/>
          <w:sz w:val="21"/>
          <w:szCs w:val="21"/>
        </w:rPr>
        <w:t xml:space="preserve">How does Glyphor Pulse intend to maintain a competitive moat against foundational video models like Google Veo 3.1 and OpenAI Sora 2, which are rapidly advancing their native capabilities?</w:t>
      </w:r>
    </w:p>
    <w:p>
      <w:pPr>
        <w:pStyle w:val="ListParagraph"/>
        <w:numPr>
          <w:ilvl w:val="0"/>
          <w:numId w:val="1"/>
        </w:numPr>
        <w:spacing w:after="80"/>
      </w:pPr>
      <w:r>
        <w:rPr>
          <w:rFonts w:ascii="Segoe UI" w:cs="Segoe UI" w:eastAsia="Segoe UI" w:hAnsi="Segoe UI"/>
          <w:color w:val="555555"/>
          <w:sz w:val="21"/>
          <w:szCs w:val="21"/>
        </w:rPr>
        <w:t xml:space="preserve">What architectural mechanisms are in place within ADT to prevent 'agentic amnesia' and compounding error rates during complex, multi-day autonomous coding tasks?</w:t>
      </w:r>
    </w:p>
    <w:p>
      <w:pPr>
        <w:pStyle w:val="ListParagraph"/>
        <w:numPr>
          <w:ilvl w:val="0"/>
          <w:numId w:val="1"/>
        </w:numPr>
        <w:spacing w:after="80"/>
      </w:pPr>
      <w:r>
        <w:rPr>
          <w:rFonts w:ascii="Segoe UI" w:cs="Segoe UI" w:eastAsia="Segoe UI" w:hAnsi="Segoe UI"/>
          <w:color w:val="555555"/>
          <w:sz w:val="21"/>
          <w:szCs w:val="21"/>
        </w:rPr>
        <w:t xml:space="preserve">How are you managing the brand and resource split between building a highly technical enterprise coding agent (Fuse) and a consumer-facing creative media generator (Pulse)?</w:t>
      </w:r>
    </w:p>
    <w:p>
      <w:pPr>
        <w:pBdr>
          <w:top w:val="single" w:color="00E0FF" w:sz="2" w:space="12"/>
        </w:pBdr>
        <w:spacing w:before="600"/>
        <w:jc w:val="center"/>
      </w:pPr>
      <w:r>
        <w:rPr>
          <w:rFonts w:ascii="Segoe UI" w:cs="Segoe UI" w:eastAsia="Segoe UI" w:hAnsi="Segoe UI"/>
          <w:color w:val="6B7280"/>
          <w:sz w:val="16"/>
          <w:szCs w:val="16"/>
        </w:rPr>
        <w:t xml:space="preserve">Glyphor AI · Strategy Lab · 3/25/2026 · Confidential</w:t>
      </w:r>
    </w:p>
    <w:sectPr>
      <w:pgSz w:w="11906" w:h="16838" w:orient="portrait"/>
      <w:pgMar w:top="1152"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Analysis: Competitive Landscape</dc:title>
  <dc:creator>Glyphor AI</dc:creator>
  <cp:lastModifiedBy>Un-named</cp:lastModifiedBy>
  <cp:revision>1</cp:revision>
  <dcterms:created xsi:type="dcterms:W3CDTF">2026-03-25T14:24:19.845Z</dcterms:created>
  <dcterms:modified xsi:type="dcterms:W3CDTF">2026-03-25T14:24:19.845Z</dcterms:modified>
</cp:coreProperties>
</file>

<file path=docProps/custom.xml><?xml version="1.0" encoding="utf-8"?>
<Properties xmlns="http://schemas.openxmlformats.org/officeDocument/2006/custom-properties" xmlns:vt="http://schemas.openxmlformats.org/officeDocument/2006/docPropsVTypes"/>
</file>