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পণ্য ফেরত ও রিফান্ড নীতিমালা</w:t>
      </w:r>
    </w:p>
    <w:p>
      <w:r>
        <w:t>পণ্য হাতে পাওয়ার ৭ দিনের মধ্যে ফেরত পাঠানোর অনুরোধ জানাতে হবে।</w:t>
      </w:r>
    </w:p>
    <w:p>
      <w:r>
        <w:t>ত্রুটিপূর্ণ পণ্যের ক্ষেত্রে সম্পূর্ণ মূল্য ফেরত প্রদান করা হবে।</w:t>
      </w:r>
    </w:p>
  </w:body>
</w:document>
</file>