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Section 1: General Information</w:t>
      </w:r>
    </w:p>
    <w:p>
      <w:r>
        <w:t>Introductory overview paragraph.</w:t>
      </w:r>
    </w:p>
    <w:p>
      <w:pPr>
        <w:pStyle w:val="Heading2"/>
      </w:pPr>
      <w:r>
        <w:t>Section 1.1: Eligibility Criteria</w:t>
      </w:r>
    </w:p>
    <w:p>
      <w:r>
        <w:t>Detailed criteria guidelines.</w:t>
      </w:r>
    </w:p>
    <w:p>
      <w:pPr>
        <w:pStyle w:val="Heading3"/>
      </w:pPr>
      <w:r>
        <w:t>Section 1.1.1: Verification Steps</w:t>
      </w:r>
    </w:p>
    <w:p>
      <w:r>
        <w:t>Final step-by-step checklist.</w:t>
      </w:r>
    </w:p>
  </w:body>
</w:document>
</file>