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Техническое</w:t>
      </w:r>
      <w:r>
        <w:t xml:space="preserve"> </w:t>
      </w:r>
      <w:r>
        <w:t xml:space="preserve">задание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Гришкин</w:t>
      </w:r>
      <w:r>
        <w:t xml:space="preserve"> </w:t>
      </w:r>
      <w:hyperlink r:id="rId21">
        <w:r>
          <w:rPr>
            <w:rStyle w:val="Hyperlink"/>
          </w:rPr>
          <w:t xml:space="preserve">FFFFF@bk.ru</w:t>
        </w:r>
      </w:hyperlink>
    </w:p>
    <w:p>
      <w:pPr>
        <w:pStyle w:val="Date"/>
      </w:pPr>
      <w:r>
        <w:t xml:space="preserve">29.04.2019</w:t>
      </w:r>
    </w:p>
    <w:p>
      <w:pPr>
        <w:pStyle w:val="Heading1"/>
      </w:pPr>
      <w:bookmarkStart w:id="22" w:name="_общие_сведения"/>
      <w:r>
        <w:t xml:space="preserve">Общие сведения</w:t>
      </w:r>
      <w:bookmarkEnd w:id="22"/>
    </w:p>
    <w:tbl>
      <w:tblPr>
        <w:tblStyle w:val="Table"/>
        <w:tblW w:type="pct" w:w="5000.0"/>
        <w:tblLook/>
      </w:tblPr>
      <w:tblGrid>
        <w:gridCol w:w="875"/>
        <w:gridCol w:w="7044"/>
      </w:tblGrid>
      <w:tr>
        <w:tc>
          <w:p>
            <w:pPr>
              <w:jc w:val="left"/>
            </w:pPr>
            <w:r>
              <w:rPr>
                <w:b/>
              </w:rPr>
              <w:t xml:space="preserve">Заказчик</w:t>
            </w:r>
          </w:p>
        </w:tc>
        <w:tc>
          <w:p>
            <w:pPr>
              <w:jc w:val="left"/>
            </w:pPr>
            <w:r>
              <w:t xml:space="preserve">{Наименование Заказчика}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Подрядчик</w:t>
            </w:r>
          </w:p>
        </w:tc>
        <w:tc>
          <w:p>
            <w:pPr>
              <w:jc w:val="left"/>
            </w:pPr>
            <w:r>
              <w:t xml:space="preserve">{Наименование Подрядчика}</w:t>
            </w:r>
          </w:p>
        </w:tc>
      </w:tr>
    </w:tbl>
    <w:p>
      <w:pPr>
        <w:pStyle w:val="Heading2"/>
      </w:pPr>
      <w:bookmarkStart w:id="23" w:name="_описание_объектов_работ"/>
      <w:r>
        <w:t xml:space="preserve">Описание объектов работ</w:t>
      </w:r>
      <w:bookmarkEnd w:id="23"/>
    </w:p>
    <w:tbl>
      <w:tblPr>
        <w:tblStyle w:val="Table"/>
        <w:tblW w:type="pct" w:w="5000.0"/>
        <w:tblLook w:firstRow="1"/>
      </w:tblPr>
      <w:tblGrid>
        <w:gridCol w:w="559"/>
        <w:gridCol w:w="1695"/>
        <w:gridCol w:w="566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Название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Местоположение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Объект 1</w:t>
            </w:r>
          </w:p>
        </w:tc>
        <w:tc>
          <w:p>
            <w:pPr>
              <w:jc w:val="left"/>
            </w:pPr>
            <w:r>
              <w:t xml:space="preserve">Россия, Республика, р-н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Объект 2</w:t>
            </w:r>
          </w:p>
        </w:tc>
        <w:tc>
          <w:p>
            <w:pPr>
              <w:jc w:val="left"/>
            </w:pPr>
            <w:r>
              <w:t xml:space="preserve">Россия, Республика, р-н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Объект 3</w:t>
            </w:r>
          </w:p>
        </w:tc>
        <w:tc>
          <w:p>
            <w:pPr>
              <w:jc w:val="left"/>
            </w:pPr>
            <w:r>
              <w:t xml:space="preserve">Россия, Республика, р-н</w:t>
            </w:r>
          </w:p>
        </w:tc>
      </w:tr>
    </w:tbl>
    <w:p>
      <w:pPr>
        <w:pStyle w:val="Heading2"/>
      </w:pPr>
      <w:bookmarkStart w:id="24" w:name="_цель_выполнения_работ_оказания_услуг"/>
      <w:r>
        <w:t xml:space="preserve">Цель выполнения работ (оказания услуг)</w:t>
      </w:r>
      <w:bookmarkEnd w:id="24"/>
    </w:p>
    <w:p>
      <w:pPr>
        <w:pStyle w:val="FirstParagraph"/>
      </w:pPr>
      <w:r>
        <w:t xml:space="preserve">Использование результатов работ при мониторинге текущих изменений территории, проведении землеустроительных и кадастровых работ, инвентаризации объектов недвижимости, инженерно-геодезических изысканиях.</w:t>
      </w:r>
    </w:p>
    <w:p>
      <w:pPr>
        <w:pStyle w:val="Heading1"/>
      </w:pPr>
      <w:bookmarkStart w:id="25" w:name="_исходные_данные_передаваемые_заказчиком"/>
      <w:r>
        <w:t xml:space="preserve">Исходные данные, передаваемые Заказчиком</w:t>
      </w:r>
      <w:bookmarkEnd w:id="25"/>
    </w:p>
    <w:p>
      <w:pPr>
        <w:pStyle w:val="FirstParagraph"/>
      </w:pPr>
      <w:r>
        <w:t xml:space="preserve">Минимальные границы территории, на которую необходимо изготовить:</w:t>
      </w:r>
    </w:p>
    <w:p>
      <w:pPr>
        <w:numPr>
          <w:numId w:val="1001"/>
          <w:ilvl w:val="0"/>
        </w:numPr>
      </w:pPr>
      <w:r>
        <w:t xml:space="preserve">Ортофотопланы;</w:t>
      </w:r>
    </w:p>
    <w:p>
      <w:pPr>
        <w:numPr>
          <w:numId w:val="1001"/>
          <w:ilvl w:val="0"/>
        </w:numPr>
      </w:pPr>
      <w:r>
        <w:t xml:space="preserve">Генерализованные текстурированные полигональные модели местности (генерализованные модели) и облако точек;</w:t>
      </w:r>
    </w:p>
    <w:p>
      <w:pPr>
        <w:numPr>
          <w:numId w:val="1001"/>
          <w:ilvl w:val="0"/>
        </w:numPr>
      </w:pPr>
      <w:r>
        <w:t xml:space="preserve">Детализированные текстурированные полигональные модели объектов капитального строительства (детализированные модели).</w:t>
      </w:r>
    </w:p>
    <w:p>
      <w:pPr>
        <w:pStyle w:val="Heading1"/>
      </w:pPr>
      <w:bookmarkStart w:id="26" w:name="_виды_и_содержание_работ_услуг"/>
      <w:r>
        <w:t xml:space="preserve">Виды и содержание работ (услуг)</w:t>
      </w:r>
      <w:bookmarkEnd w:id="26"/>
    </w:p>
    <w:p>
      <w:pPr>
        <w:numPr>
          <w:numId w:val="1002"/>
          <w:ilvl w:val="0"/>
        </w:numPr>
      </w:pPr>
      <w:r>
        <w:t xml:space="preserve">Подготовительные работы:</w:t>
      </w:r>
    </w:p>
    <w:p>
      <w:pPr>
        <w:numPr>
          <w:numId w:val="1003"/>
          <w:ilvl w:val="1"/>
        </w:numPr>
      </w:pPr>
      <w:r>
        <w:t xml:space="preserve">Определение методики выполнения работ и границ съёмки;</w:t>
      </w:r>
    </w:p>
    <w:p>
      <w:pPr>
        <w:numPr>
          <w:numId w:val="1003"/>
          <w:ilvl w:val="1"/>
        </w:numPr>
      </w:pPr>
      <w:r>
        <w:t xml:space="preserve">Подготовка и согласование с Заказчиком схемы разграфки и номенклатуры листов;</w:t>
      </w:r>
    </w:p>
    <w:p>
      <w:pPr>
        <w:numPr>
          <w:numId w:val="1003"/>
          <w:ilvl w:val="1"/>
        </w:numPr>
      </w:pPr>
      <w:r>
        <w:t xml:space="preserve">Получение разрешений для выполнения работ в Генеральном Штабе, Штабе военного округа и ФСБ России;</w:t>
      </w:r>
    </w:p>
    <w:p>
      <w:pPr>
        <w:numPr>
          <w:numId w:val="1003"/>
          <w:ilvl w:val="1"/>
        </w:numPr>
      </w:pPr>
      <w:r>
        <w:t xml:space="preserve">Получение геопространственных данных, необходимых для выполнения геодезических работ, в том числе каталогов координат пунктов ГГС.</w:t>
      </w:r>
    </w:p>
    <w:p>
      <w:pPr>
        <w:numPr>
          <w:numId w:val="1002"/>
          <w:ilvl w:val="0"/>
        </w:numPr>
      </w:pPr>
      <w:r>
        <w:t xml:space="preserve">Полевые работы:</w:t>
      </w:r>
    </w:p>
    <w:p>
      <w:pPr>
        <w:numPr>
          <w:numId w:val="1004"/>
          <w:ilvl w:val="1"/>
        </w:numPr>
      </w:pPr>
      <w:r>
        <w:t xml:space="preserve">Рекогносцировка местности;</w:t>
      </w:r>
    </w:p>
    <w:p>
      <w:pPr>
        <w:numPr>
          <w:numId w:val="1004"/>
          <w:ilvl w:val="1"/>
        </w:numPr>
      </w:pPr>
      <w:r>
        <w:t xml:space="preserve">Создание опорной геодезической сети для обеспечения аэросъёмочных работ;</w:t>
      </w:r>
    </w:p>
    <w:p>
      <w:pPr>
        <w:numPr>
          <w:numId w:val="1004"/>
          <w:ilvl w:val="1"/>
        </w:numPr>
      </w:pPr>
      <w:r>
        <w:t xml:space="preserve">Геодезическое обеспечение аэросъёмочных работ;</w:t>
      </w:r>
    </w:p>
    <w:p>
      <w:pPr>
        <w:numPr>
          <w:numId w:val="1004"/>
          <w:ilvl w:val="1"/>
        </w:numPr>
      </w:pPr>
      <w:r>
        <w:t xml:space="preserve">Аэросъёмочные работы;</w:t>
      </w:r>
    </w:p>
    <w:p>
      <w:pPr>
        <w:numPr>
          <w:numId w:val="1004"/>
          <w:ilvl w:val="1"/>
        </w:numPr>
      </w:pPr>
      <w:r>
        <w:t xml:space="preserve">Контроль и приёмка полевых работ.</w:t>
      </w:r>
    </w:p>
    <w:p>
      <w:pPr>
        <w:numPr>
          <w:numId w:val="1002"/>
          <w:ilvl w:val="0"/>
        </w:numPr>
      </w:pPr>
      <w:r>
        <w:t xml:space="preserve">Камеральные работы:</w:t>
      </w:r>
    </w:p>
    <w:p>
      <w:pPr>
        <w:numPr>
          <w:numId w:val="1005"/>
          <w:ilvl w:val="1"/>
        </w:numPr>
      </w:pPr>
      <w:r>
        <w:t xml:space="preserve">Создание цифровой модели местности (ЦММ/DSM) в виде облака точек;</w:t>
      </w:r>
    </w:p>
    <w:p>
      <w:pPr>
        <w:numPr>
          <w:numId w:val="1005"/>
          <w:ilvl w:val="1"/>
        </w:numPr>
      </w:pPr>
      <w:r>
        <w:t xml:space="preserve">Автоматическая классификация облака точек по стандарту LAS 1.4;</w:t>
      </w:r>
    </w:p>
    <w:p>
      <w:pPr>
        <w:numPr>
          <w:numId w:val="1005"/>
          <w:ilvl w:val="1"/>
        </w:numPr>
      </w:pPr>
      <w:r>
        <w:t xml:space="preserve">Создание ортофотопланов;</w:t>
      </w:r>
    </w:p>
    <w:p>
      <w:pPr>
        <w:numPr>
          <w:numId w:val="1005"/>
          <w:ilvl w:val="1"/>
        </w:numPr>
      </w:pPr>
      <w:r>
        <w:t xml:space="preserve">Создание генерализованных моделей местности с небольшим количеством полигонов;</w:t>
      </w:r>
    </w:p>
    <w:p>
      <w:pPr>
        <w:numPr>
          <w:numId w:val="1005"/>
          <w:ilvl w:val="1"/>
        </w:numPr>
      </w:pPr>
      <w:r>
        <w:t xml:space="preserve">Создание детализированных моделей объектов капитального строительства с высоким количеством полигонов;</w:t>
      </w:r>
    </w:p>
    <w:p>
      <w:pPr>
        <w:numPr>
          <w:numId w:val="1005"/>
          <w:ilvl w:val="1"/>
        </w:numPr>
      </w:pPr>
      <w:r>
        <w:t xml:space="preserve">Оптимизация генерализованных моделей местности для размещения на геопортале в сети Интернет;</w:t>
      </w:r>
    </w:p>
    <w:p>
      <w:pPr>
        <w:numPr>
          <w:numId w:val="1005"/>
          <w:ilvl w:val="1"/>
        </w:numPr>
      </w:pPr>
      <w:r>
        <w:t xml:space="preserve">Контроль и приёмка камеральных работ.</w:t>
      </w:r>
    </w:p>
    <w:p>
      <w:pPr>
        <w:numPr>
          <w:numId w:val="1002"/>
          <w:ilvl w:val="0"/>
        </w:numPr>
      </w:pPr>
      <w:r>
        <w:t xml:space="preserve">Предоставление материалов аэрофотосъёмки на контрольный просмотр в Штаб военного округа и получение акта контрольного просмотра;</w:t>
      </w:r>
    </w:p>
    <w:p>
      <w:pPr>
        <w:numPr>
          <w:numId w:val="1002"/>
          <w:ilvl w:val="0"/>
        </w:numPr>
      </w:pPr>
      <w:r>
        <w:t xml:space="preserve">Рассекречивание материалов (при необходимости);</w:t>
      </w:r>
    </w:p>
    <w:p>
      <w:pPr>
        <w:numPr>
          <w:numId w:val="1002"/>
          <w:ilvl w:val="0"/>
        </w:numPr>
      </w:pPr>
      <w:r>
        <w:t xml:space="preserve">Создание технического отчёта;</w:t>
      </w:r>
    </w:p>
    <w:p>
      <w:pPr>
        <w:numPr>
          <w:numId w:val="1002"/>
          <w:ilvl w:val="0"/>
        </w:numPr>
      </w:pPr>
      <w:r>
        <w:t xml:space="preserve">Сдача-приёмка выполненных работ (оказанных услуг) Заказчику.</w:t>
      </w:r>
    </w:p>
    <w:p>
      <w:pPr>
        <w:pStyle w:val="Heading1"/>
      </w:pPr>
      <w:bookmarkStart w:id="27" w:name="_сведения_об_объёмах_работ_услуг"/>
      <w:r>
        <w:t xml:space="preserve">Сведения об объёмах работ (услуг)</w:t>
      </w:r>
      <w:bookmarkEnd w:id="27"/>
    </w:p>
    <w:tbl>
      <w:tblPr>
        <w:tblStyle w:val="Table"/>
        <w:tblW w:type="pct" w:w="4999.999999999999"/>
        <w:tblLook w:firstRow="1"/>
      </w:tblPr>
      <w:tblGrid>
        <w:gridCol w:w="614"/>
        <w:gridCol w:w="1528"/>
        <w:gridCol w:w="4565"/>
        <w:gridCol w:w="121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Объект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Выходная продукция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Площадь, га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Объект 1</w:t>
            </w:r>
          </w:p>
        </w:tc>
        <w:tc>
          <w:p>
            <w:pPr>
              <w:jc w:val="left"/>
            </w:pPr>
            <w:r>
              <w:t xml:space="preserve">Ортофотопланы</w:t>
            </w:r>
          </w:p>
        </w:tc>
        <w:tc>
          <w:p>
            <w:pPr>
              <w:jc w:val="left"/>
            </w:pPr>
            <w:r>
              <w:t xml:space="preserve">ххх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jc w:val="left"/>
            </w:pPr>
            <w:r>
              <w:t xml:space="preserve">Генерализованные модели</w:t>
            </w:r>
          </w:p>
        </w:tc>
        <w:tc>
          <w:p>
            <w:pPr>
              <w:jc w:val="left"/>
            </w:pPr>
            <w:r>
              <w:t xml:space="preserve">ххх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jc w:val="left"/>
            </w:pPr>
            <w:r>
              <w:t xml:space="preserve">Детализированные модели</w:t>
            </w:r>
          </w:p>
        </w:tc>
        <w:tc>
          <w:p>
            <w:pPr>
              <w:jc w:val="left"/>
            </w:pPr>
            <w:r>
              <w:t xml:space="preserve">ххх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Объект 2</w:t>
            </w:r>
          </w:p>
        </w:tc>
        <w:tc>
          <w:p>
            <w:pPr>
              <w:jc w:val="left"/>
            </w:pPr>
            <w:r>
              <w:t xml:space="preserve">Ортофотопланы</w:t>
            </w:r>
          </w:p>
        </w:tc>
        <w:tc>
          <w:p>
            <w:pPr>
              <w:jc w:val="left"/>
            </w:pPr>
            <w:r>
              <w:t xml:space="preserve">ххх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jc w:val="left"/>
            </w:pPr>
            <w:r>
              <w:t xml:space="preserve">Генерализованные модели</w:t>
            </w:r>
          </w:p>
        </w:tc>
        <w:tc>
          <w:p>
            <w:pPr>
              <w:jc w:val="left"/>
            </w:pPr>
            <w:r>
              <w:t xml:space="preserve">ххх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jc w:val="left"/>
            </w:pPr>
            <w:r>
              <w:t xml:space="preserve">Детализированные модели</w:t>
            </w:r>
          </w:p>
        </w:tc>
        <w:tc>
          <w:p>
            <w:pPr>
              <w:jc w:val="left"/>
            </w:pPr>
            <w:r>
              <w:t xml:space="preserve">ххх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Объект 3</w:t>
            </w:r>
          </w:p>
        </w:tc>
        <w:tc>
          <w:p>
            <w:pPr>
              <w:jc w:val="left"/>
            </w:pPr>
            <w:r>
              <w:t xml:space="preserve">Ортофотопланы</w:t>
            </w:r>
          </w:p>
        </w:tc>
        <w:tc>
          <w:p>
            <w:pPr>
              <w:jc w:val="left"/>
            </w:pPr>
            <w:r>
              <w:t xml:space="preserve">ххх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jc w:val="left"/>
            </w:pPr>
            <w:r>
              <w:t xml:space="preserve">Генерализованные модели</w:t>
            </w:r>
          </w:p>
        </w:tc>
        <w:tc>
          <w:p>
            <w:pPr>
              <w:jc w:val="left"/>
            </w:pPr>
            <w:r>
              <w:t xml:space="preserve">ххх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jc w:val="left"/>
            </w:pPr>
            <w:r>
              <w:t xml:space="preserve">Детализированные модели</w:t>
            </w:r>
          </w:p>
        </w:tc>
        <w:tc>
          <w:p>
            <w:pPr>
              <w:jc w:val="left"/>
            </w:pPr>
            <w:r>
              <w:t xml:space="preserve">ххх</w:t>
            </w:r>
          </w:p>
        </w:tc>
      </w:tr>
    </w:tbl>
    <w:p>
      <w:pPr>
        <w:pStyle w:val="Heading1"/>
      </w:pPr>
      <w:bookmarkStart w:id="28" w:name="_специальные_требования_к_выполняемым_работам_оказываемым_услугам"/>
      <w:r>
        <w:t xml:space="preserve">Специальные требования к выполняемым работам (оказываемым услугам)</w:t>
      </w:r>
      <w:bookmarkEnd w:id="28"/>
    </w:p>
    <w:p>
      <w:pPr>
        <w:pStyle w:val="Heading2"/>
      </w:pPr>
      <w:bookmarkStart w:id="29" w:name="_требования_к_наземному_геодезическому_обеспечению_аэросъёмочных_работ"/>
      <w:r>
        <w:t xml:space="preserve">Требования к наземному геодезическому обеспечению аэросъёмочных работ:</w:t>
      </w:r>
      <w:bookmarkEnd w:id="29"/>
    </w:p>
    <w:p>
      <w:pPr>
        <w:numPr>
          <w:numId w:val="1006"/>
          <w:ilvl w:val="0"/>
        </w:numPr>
      </w:pPr>
      <w:r>
        <w:t xml:space="preserve">Допуск работников Подрядчика на объект согласовывается с Заказчиком;</w:t>
      </w:r>
    </w:p>
    <w:p>
      <w:pPr>
        <w:numPr>
          <w:numId w:val="1006"/>
          <w:ilvl w:val="0"/>
        </w:numPr>
      </w:pPr>
      <w:r>
        <w:t xml:space="preserve">Определение и закрепление планово-высотных опознавательных знаков (ОПВ) — не менее 8 штук, равномерно распределённых по территории объекта;</w:t>
      </w:r>
    </w:p>
    <w:p>
      <w:pPr>
        <w:numPr>
          <w:numId w:val="1006"/>
          <w:ilvl w:val="0"/>
        </w:numPr>
      </w:pPr>
      <w:r>
        <w:t xml:space="preserve">Точность определения координат ОПВ — не хуже 0,05 м в плане и по высоте.</w:t>
      </w:r>
    </w:p>
    <w:p>
      <w:pPr>
        <w:pStyle w:val="Heading2"/>
      </w:pPr>
      <w:bookmarkStart w:id="30" w:name="_требования_к_выполнению_аэросъёмочных_работ"/>
      <w:r>
        <w:t xml:space="preserve">Требования к выполнению аэросъёмочных работ:</w:t>
      </w:r>
      <w:bookmarkEnd w:id="30"/>
    </w:p>
    <w:p>
      <w:pPr>
        <w:numPr>
          <w:numId w:val="1007"/>
          <w:ilvl w:val="0"/>
        </w:numPr>
      </w:pPr>
      <w:r>
        <w:t xml:space="preserve">Выполняются при:</w:t>
      </w:r>
    </w:p>
    <w:p>
      <w:pPr>
        <w:numPr>
          <w:numId w:val="1008"/>
          <w:ilvl w:val="1"/>
        </w:numPr>
      </w:pPr>
      <w:r>
        <w:t xml:space="preserve">углах солнца не менее 15 градусов над горизонтом;</w:t>
      </w:r>
    </w:p>
    <w:p>
      <w:pPr>
        <w:numPr>
          <w:numId w:val="1008"/>
          <w:ilvl w:val="1"/>
        </w:numPr>
      </w:pPr>
      <w:r>
        <w:t xml:space="preserve">отсутствии снежного покрова на площади более 80% (при возможности);</w:t>
      </w:r>
    </w:p>
    <w:p>
      <w:pPr>
        <w:numPr>
          <w:numId w:val="1008"/>
          <w:ilvl w:val="1"/>
        </w:numPr>
      </w:pPr>
      <w:r>
        <w:t xml:space="preserve">минимальной вегетации растительности (при возможности);</w:t>
      </w:r>
    </w:p>
    <w:p>
      <w:pPr>
        <w:numPr>
          <w:numId w:val="1008"/>
          <w:ilvl w:val="1"/>
        </w:numPr>
      </w:pPr>
      <w:r>
        <w:t xml:space="preserve">скорости ветра не более 15 м/с;</w:t>
      </w:r>
    </w:p>
    <w:p>
      <w:pPr>
        <w:numPr>
          <w:numId w:val="1008"/>
          <w:ilvl w:val="1"/>
        </w:numPr>
      </w:pPr>
      <w:r>
        <w:t xml:space="preserve">отсутствии атмосферных осадков;</w:t>
      </w:r>
    </w:p>
    <w:p>
      <w:pPr>
        <w:numPr>
          <w:numId w:val="1008"/>
          <w:ilvl w:val="1"/>
        </w:numPr>
      </w:pPr>
      <w:r>
        <w:t xml:space="preserve">облачности выше высоты аэрофотосъёмки. Наличие теней от облаков допускается;</w:t>
      </w:r>
    </w:p>
    <w:p>
      <w:pPr>
        <w:numPr>
          <w:numId w:val="1008"/>
          <w:ilvl w:val="1"/>
        </w:numPr>
      </w:pPr>
      <w:r>
        <w:t xml:space="preserve">отсутствии иных факторов, мешающих качественному проведению аэросъёмочных работ.</w:t>
      </w:r>
    </w:p>
    <w:p>
      <w:pPr>
        <w:numPr>
          <w:numId w:val="1007"/>
          <w:ilvl w:val="0"/>
        </w:numPr>
      </w:pPr>
      <w:r>
        <w:t xml:space="preserve">Аэросъёмочная аппаратура должна быть откалибрована (подтверждается сертификатом калибровки);</w:t>
      </w:r>
    </w:p>
    <w:p>
      <w:pPr>
        <w:numPr>
          <w:numId w:val="1007"/>
          <w:ilvl w:val="0"/>
        </w:numPr>
      </w:pPr>
      <w:r>
        <w:t xml:space="preserve">Аэросъёмочная аппаратура должна обеспечивать компенсацию оптического сдвига («смаза») изображения, как вследствие линейного перемещения воздушного судна, так и вследствие его угловых колебаний. Максимальный смаз фотоизображения — не более 1 пикселя;</w:t>
      </w:r>
    </w:p>
    <w:p>
      <w:pPr>
        <w:numPr>
          <w:numId w:val="1007"/>
          <w:ilvl w:val="0"/>
        </w:numPr>
      </w:pPr>
      <w:r>
        <w:t xml:space="preserve">Не допускается наличие продольных и поперечных разрывов изображения;</w:t>
      </w:r>
    </w:p>
    <w:p>
      <w:pPr>
        <w:numPr>
          <w:numId w:val="1007"/>
          <w:ilvl w:val="0"/>
        </w:numPr>
      </w:pPr>
      <w:r>
        <w:t xml:space="preserve">Размер стороны пикселя аэроснимка на земле (GSD) — не более 0,10 м;</w:t>
      </w:r>
    </w:p>
    <w:p>
      <w:pPr>
        <w:numPr>
          <w:numId w:val="1007"/>
          <w:ilvl w:val="0"/>
        </w:numPr>
      </w:pPr>
      <w:r>
        <w:t xml:space="preserve">Продольное перекрытие между снимками не менее 70%;</w:t>
      </w:r>
    </w:p>
    <w:p>
      <w:pPr>
        <w:numPr>
          <w:numId w:val="1007"/>
          <w:ilvl w:val="0"/>
        </w:numPr>
      </w:pPr>
      <w:r>
        <w:t xml:space="preserve">Поперечное перекрытие между снимками не менее 50%.</w:t>
      </w:r>
    </w:p>
    <w:p>
      <w:pPr>
        <w:pStyle w:val="Heading1"/>
      </w:pPr>
      <w:bookmarkStart w:id="31" w:name="_качество_выполнения_работ_оказания_услуг"/>
      <w:r>
        <w:t xml:space="preserve">Качество выполнения работ (оказания услуг)</w:t>
      </w:r>
      <w:bookmarkEnd w:id="31"/>
    </w:p>
    <w:p>
      <w:pPr>
        <w:numPr>
          <w:numId w:val="1009"/>
          <w:ilvl w:val="0"/>
        </w:numPr>
      </w:pPr>
      <w:r>
        <w:t xml:space="preserve">Качественное выполнение работ (оказание услуг) — это выполнение работ (оказание услуг) с применением технологий, обеспечивающих наличие у произведённой продукции (оказанной услуги) совокупности свойств и характеристик, придающих продукции (услуге) способность удовлетворять обусловленные или предполагаемые потребности Заказчика. При этом работы должны выполняться в соответствии с действующими нормативно-правовыми актами, договором и настоящим техническим заданием.</w:t>
      </w:r>
    </w:p>
    <w:p>
      <w:pPr>
        <w:numPr>
          <w:numId w:val="1009"/>
          <w:ilvl w:val="0"/>
        </w:numPr>
      </w:pPr>
      <w:r>
        <w:t xml:space="preserve">Подрядчик несёт полную ответственность за качество выполнения работ.</w:t>
      </w:r>
    </w:p>
    <w:p>
      <w:pPr>
        <w:numPr>
          <w:numId w:val="1009"/>
          <w:ilvl w:val="0"/>
        </w:numPr>
      </w:pPr>
      <w:r>
        <w:t xml:space="preserve">С целью обеспечения качественного выполнения работ (оказания услуг) Подрядчик обязан осуществлять непрерывный технический и приёмочный контроль работ последовательно по всем звеньям структуры предприятия от исполнителя до отдела технического контроля.</w:t>
      </w:r>
    </w:p>
    <w:p>
      <w:pPr>
        <w:numPr>
          <w:numId w:val="1009"/>
          <w:ilvl w:val="0"/>
        </w:numPr>
      </w:pPr>
      <w:r>
        <w:t xml:space="preserve">Заказчик вправе в любое время проверять ход и качество выполняемой Подрядчиком работы, не вмешиваясь в его деятельность.</w:t>
      </w:r>
    </w:p>
    <w:p>
      <w:pPr>
        <w:numPr>
          <w:numId w:val="1009"/>
          <w:ilvl w:val="0"/>
        </w:numPr>
      </w:pPr>
      <w:r>
        <w:t xml:space="preserve">Заказчик может участвовать в контроле качества выполнения работ Подрядчиком непосредственно или воспользовавшись услугами сторонних организаций.</w:t>
      </w:r>
    </w:p>
    <w:p>
      <w:pPr>
        <w:numPr>
          <w:numId w:val="1009"/>
          <w:ilvl w:val="0"/>
        </w:numPr>
      </w:pPr>
      <w:r>
        <w:t xml:space="preserve">В ходе выполнения контроля качества выполнения работ Заказчик вправе запрашивать у Подрядчика сведения и документы, а также осуществлять непосредственный осмотр и проверку выполняемой работы.</w:t>
      </w:r>
    </w:p>
    <w:p>
      <w:pPr>
        <w:numPr>
          <w:numId w:val="1009"/>
          <w:ilvl w:val="0"/>
        </w:numPr>
      </w:pPr>
      <w:r>
        <w:t xml:space="preserve">Объём и порядок участия Заказчика в контроле качества выполнения работ определяется Заказчиком дополнительно.</w:t>
      </w:r>
    </w:p>
    <w:p>
      <w:pPr>
        <w:numPr>
          <w:numId w:val="1009"/>
          <w:ilvl w:val="0"/>
        </w:numPr>
      </w:pPr>
      <w:r>
        <w:t xml:space="preserve">Заказчик может проводить выборочный контроль качества выполнения полевых и камеральных работ с помощью оборудования, программного обеспечения и работников Подрядчика.</w:t>
      </w:r>
    </w:p>
    <w:p>
      <w:pPr>
        <w:numPr>
          <w:numId w:val="1009"/>
          <w:ilvl w:val="0"/>
        </w:numPr>
      </w:pPr>
      <w:r>
        <w:t xml:space="preserve">Заказчик при приёмке работ вправе уведомить Подрядчика о необходимости осуществления инструментального контроля:</w:t>
      </w:r>
    </w:p>
    <w:p>
      <w:pPr>
        <w:numPr>
          <w:numId w:val="1010"/>
          <w:ilvl w:val="1"/>
        </w:numPr>
      </w:pPr>
      <w:r>
        <w:t xml:space="preserve">В ходе инструментального контроля определяется местоположение контрольных точек. Число контрольных точек не ограничивается;</w:t>
      </w:r>
    </w:p>
    <w:p>
      <w:pPr>
        <w:numPr>
          <w:numId w:val="1010"/>
          <w:ilvl w:val="1"/>
        </w:numPr>
      </w:pPr>
      <w:r>
        <w:t xml:space="preserve">Подрядчик обязан по согласованию с Заказчиком направить своих представителей вместе с необходимым и согласованным Заказчиком геодезическим оборудованием для совместного выполнения контрольных измерений;</w:t>
      </w:r>
    </w:p>
    <w:p>
      <w:pPr>
        <w:numPr>
          <w:numId w:val="1010"/>
          <w:ilvl w:val="1"/>
        </w:numPr>
      </w:pPr>
      <w:r>
        <w:t xml:space="preserve">Контрольные измерения по решению Заказчика выполняются методами спутниковых геодезических измерений и/или тахеометрической съёмки;</w:t>
      </w:r>
    </w:p>
    <w:p>
      <w:pPr>
        <w:numPr>
          <w:numId w:val="1010"/>
          <w:ilvl w:val="1"/>
        </w:numPr>
      </w:pPr>
      <w:r>
        <w:t xml:space="preserve">По результатам контрольных измерений Подрядчик обязан передать Заказчику журналы измерений и результаты их обработки;</w:t>
      </w:r>
    </w:p>
    <w:p>
      <w:pPr>
        <w:numPr>
          <w:numId w:val="1010"/>
          <w:ilvl w:val="1"/>
        </w:numPr>
      </w:pPr>
      <w:r>
        <w:t xml:space="preserve">Срок приёмки работ в данном случае продляется на срок выполнения и обработки контрольных измерений.</w:t>
      </w:r>
    </w:p>
    <w:p>
      <w:pPr>
        <w:numPr>
          <w:numId w:val="1009"/>
          <w:ilvl w:val="0"/>
        </w:numPr>
      </w:pPr>
      <w:r>
        <w:t xml:space="preserve">Срок предоставления гарантии качества — не менее 3 лет с момента приёмки работ (услуг).</w:t>
      </w:r>
    </w:p>
    <w:p>
      <w:pPr>
        <w:pStyle w:val="Heading1"/>
      </w:pPr>
      <w:bookmarkStart w:id="32" w:name="_сроки_выполнения_работ_оказания_услуг"/>
      <w:r>
        <w:t xml:space="preserve">Сроки выполнения работ (оказания услуг)</w:t>
      </w:r>
      <w:bookmarkEnd w:id="32"/>
    </w:p>
    <w:tbl>
      <w:tblPr>
        <w:tblStyle w:val="Table"/>
        <w:tblW w:type="pct" w:w="5000.0"/>
        <w:tblLook w:firstRow="1"/>
      </w:tblPr>
      <w:tblGrid>
        <w:gridCol w:w="465"/>
        <w:gridCol w:w="3261"/>
        <w:gridCol w:w="3261"/>
        <w:gridCol w:w="9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Наименование вида работ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Событие, определяющее начало выполнения работ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Срок, рабочих дней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Подготовительные работы</w:t>
            </w:r>
          </w:p>
        </w:tc>
        <w:tc>
          <w:p>
            <w:pPr>
              <w:jc w:val="left"/>
            </w:pPr>
            <w:r>
              <w:t xml:space="preserve">Заключение договора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Полевые работы</w:t>
            </w:r>
          </w:p>
        </w:tc>
        <w:tc>
          <w:p>
            <w:pPr>
              <w:jc w:val="left"/>
            </w:pPr>
            <w:r>
              <w:t xml:space="preserve">Определяется Заказчиком дополнительно с учётом наиболее благоприятных для выполнения аэрофотосъёмки погодных условий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Камеральные работы</w:t>
            </w:r>
          </w:p>
        </w:tc>
        <w:tc>
          <w:p>
            <w:pPr>
              <w:jc w:val="left"/>
            </w:pPr>
            <w:r>
              <w:t xml:space="preserve">Завершение полевых работ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</w:tr>
      <w:tr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Предоставление материалов аэрофотосъёмки на контрольный просмотр в Штаб военного округа и получение акта контрольного просмотра</w:t>
            </w:r>
          </w:p>
        </w:tc>
        <w:tc>
          <w:p>
            <w:pPr>
              <w:jc w:val="left"/>
            </w:pPr>
            <w:r>
              <w:t xml:space="preserve">Завершение полевых работ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</w:tr>
      <w:tr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Рассекречивание материалов (при необходимости)</w:t>
            </w:r>
          </w:p>
        </w:tc>
        <w:tc>
          <w:p>
            <w:pPr>
              <w:jc w:val="left"/>
            </w:pPr>
            <w:r>
              <w:t xml:space="preserve">Получение заключения о наличии сведений, составляющих государственную тайну</w:t>
            </w:r>
          </w:p>
        </w:tc>
        <w:tc>
          <w:p>
            <w:pPr>
              <w:jc w:val="left"/>
            </w:pPr>
            <w:r>
              <w:t xml:space="preserve">20</w:t>
            </w:r>
          </w:p>
        </w:tc>
      </w:tr>
      <w:tr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Создание технического отчёта</w:t>
            </w:r>
          </w:p>
        </w:tc>
        <w:tc>
          <w:p>
            <w:pPr>
              <w:jc w:val="left"/>
            </w:pPr>
            <w:r>
              <w:t xml:space="preserve">Рассекречивание материалов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</w:tbl>
    <w:p>
      <w:pPr>
        <w:pStyle w:val="Heading1"/>
      </w:pPr>
      <w:bookmarkStart w:id="33" w:name="_выходная_продукция_услуги"/>
      <w:r>
        <w:t xml:space="preserve">Выходная продукция (услуги)</w:t>
      </w:r>
      <w:bookmarkEnd w:id="33"/>
    </w:p>
    <w:p>
      <w:pPr>
        <w:pStyle w:val="FirstParagraph"/>
      </w:pPr>
      <w:r>
        <w:t xml:space="preserve">В результате выполнения работ подрядчик передаёт Заказчику:</w:t>
      </w:r>
    </w:p>
    <w:p>
      <w:pPr>
        <w:numPr>
          <w:numId w:val="1011"/>
          <w:ilvl w:val="0"/>
        </w:numPr>
      </w:pPr>
      <w:r>
        <w:t xml:space="preserve">Ортофотопланы;</w:t>
      </w:r>
    </w:p>
    <w:p>
      <w:pPr>
        <w:numPr>
          <w:numId w:val="1011"/>
          <w:ilvl w:val="0"/>
        </w:numPr>
      </w:pPr>
      <w:r>
        <w:t xml:space="preserve">Облако точек;</w:t>
      </w:r>
    </w:p>
    <w:p>
      <w:pPr>
        <w:numPr>
          <w:numId w:val="1011"/>
          <w:ilvl w:val="0"/>
        </w:numPr>
      </w:pPr>
      <w:r>
        <w:t xml:space="preserve">Генерализованные модели местности;</w:t>
      </w:r>
    </w:p>
    <w:p>
      <w:pPr>
        <w:numPr>
          <w:numId w:val="1011"/>
          <w:ilvl w:val="0"/>
        </w:numPr>
      </w:pPr>
      <w:r>
        <w:t xml:space="preserve">Генерализованные модели местности, оптимизированные для размещения на геопортале в сети Интернет;</w:t>
      </w:r>
    </w:p>
    <w:p>
      <w:pPr>
        <w:numPr>
          <w:numId w:val="1011"/>
          <w:ilvl w:val="0"/>
        </w:numPr>
      </w:pPr>
      <w:r>
        <w:t xml:space="preserve">Детализированные модели объектов капитального строительства;</w:t>
      </w:r>
    </w:p>
    <w:p>
      <w:pPr>
        <w:numPr>
          <w:numId w:val="1011"/>
          <w:ilvl w:val="0"/>
        </w:numPr>
      </w:pPr>
      <w:r>
        <w:t xml:space="preserve">Технический отчёт;</w:t>
      </w:r>
    </w:p>
    <w:p>
      <w:pPr>
        <w:numPr>
          <w:numId w:val="1011"/>
          <w:ilvl w:val="0"/>
        </w:numPr>
      </w:pPr>
      <w:r>
        <w:t xml:space="preserve">Документ, подтверждающий возможность открытого опубликования картографической продукции.</w:t>
      </w:r>
    </w:p>
    <w:p>
      <w:pPr>
        <w:pStyle w:val="Heading1"/>
      </w:pPr>
      <w:bookmarkStart w:id="34" w:name="_требования_к_выходной_продукции_услугам"/>
      <w:r>
        <w:t xml:space="preserve">Требования к выходной продукции (услугам)</w:t>
      </w:r>
      <w:bookmarkEnd w:id="34"/>
    </w:p>
    <w:tbl>
      <w:tblPr>
        <w:tblStyle w:val="Table"/>
        <w:tblW w:type="pct" w:w="5000.0"/>
        <w:tblLook w:firstRow="1"/>
      </w:tblPr>
      <w:tblGrid>
        <w:gridCol w:w="372"/>
        <w:gridCol w:w="1882"/>
        <w:gridCol w:w="566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Вид продукции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Требования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Картографическая продукция в целом</w:t>
            </w:r>
          </w:p>
        </w:tc>
        <w:tc>
          <w:p>
            <w:pPr>
              <w:jc w:val="left"/>
              <w:numPr>
                <w:numId w:val="1012"/>
                <w:ilvl w:val="0"/>
              </w:numPr>
            </w:pPr>
            <w:r>
              <w:t xml:space="preserve">Не должна содержать сведения, отнесённые в установленном порядке, к государственной тайне;</w:t>
            </w:r>
          </w:p>
          <w:p>
            <w:pPr>
              <w:jc w:val="left"/>
              <w:numPr>
                <w:numId w:val="1012"/>
                <w:ilvl w:val="0"/>
              </w:numPr>
            </w:pPr>
            <w:r>
              <w:t xml:space="preserve">Должно быть разрешено открытое опубликование;</w:t>
            </w:r>
          </w:p>
          <w:p>
            <w:pPr>
              <w:jc w:val="left"/>
              <w:numPr>
                <w:numId w:val="1012"/>
                <w:ilvl w:val="0"/>
              </w:numPr>
            </w:pPr>
            <w:r>
              <w:t xml:space="preserve">Предоставляется в электронном виде с разбивкой на листы в соответствии с системой разграфки;</w:t>
            </w:r>
          </w:p>
          <w:p>
            <w:pPr>
              <w:jc w:val="left"/>
              <w:numPr>
                <w:numId w:val="1012"/>
                <w:ilvl w:val="0"/>
              </w:numPr>
            </w:pPr>
            <w:r>
              <w:t xml:space="preserve">Разграфка — прямоугольная разграфка для масштаба 1:1000 с размерами сторон 0.5 × 0.5 км на местности;</w:t>
            </w:r>
          </w:p>
          <w:p>
            <w:pPr>
              <w:jc w:val="left"/>
              <w:numPr>
                <w:numId w:val="1012"/>
                <w:ilvl w:val="0"/>
              </w:numPr>
            </w:pPr>
            <w:r>
              <w:t xml:space="preserve">Система координат — местная система координат кадастрового округа (МСК);</w:t>
            </w:r>
          </w:p>
          <w:p>
            <w:pPr>
              <w:jc w:val="left"/>
              <w:numPr>
                <w:numId w:val="1012"/>
                <w:ilvl w:val="0"/>
              </w:numPr>
            </w:pPr>
            <w:r>
              <w:t xml:space="preserve">Система высот — Балтийская 1977 года.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Ортофотопланы</w:t>
            </w:r>
          </w:p>
        </w:tc>
        <w:tc>
          <w:p>
            <w:pPr>
              <w:jc w:val="left"/>
              <w:numPr>
                <w:numId w:val="1013"/>
                <w:ilvl w:val="0"/>
              </w:numPr>
            </w:pPr>
            <w:r>
              <w:t xml:space="preserve">Формат:</w:t>
            </w:r>
          </w:p>
          <w:p>
            <w:pPr>
              <w:jc w:val="left"/>
              <w:numPr>
                <w:numId w:val="1014"/>
                <w:ilvl w:val="1"/>
              </w:numPr>
            </w:pPr>
            <w:r>
              <w:t xml:space="preserve">8 битный цветной (RGB или RGBA) GeoTiff с файлом привязки TFW;</w:t>
            </w:r>
          </w:p>
          <w:p>
            <w:pPr>
              <w:jc w:val="left"/>
              <w:numPr>
                <w:numId w:val="1014"/>
                <w:ilvl w:val="1"/>
              </w:numPr>
            </w:pPr>
            <w:r>
              <w:t xml:space="preserve">сжатие без потерь;</w:t>
            </w:r>
          </w:p>
          <w:p>
            <w:pPr>
              <w:jc w:val="left"/>
              <w:numPr>
                <w:numId w:val="1014"/>
                <w:ilvl w:val="1"/>
              </w:numPr>
            </w:pPr>
            <w:r>
              <w:t xml:space="preserve">размер пикселя — 0,10 × 0,10 м;</w:t>
            </w:r>
          </w:p>
          <w:p>
            <w:pPr>
              <w:jc w:val="left"/>
              <w:numPr>
                <w:numId w:val="1014"/>
                <w:ilvl w:val="1"/>
              </w:numPr>
            </w:pPr>
            <w:r>
              <w:t xml:space="preserve">пирамидные слои построены;</w:t>
            </w:r>
          </w:p>
          <w:p>
            <w:pPr>
              <w:jc w:val="left"/>
              <w:numPr>
                <w:numId w:val="1014"/>
                <w:ilvl w:val="1"/>
              </w:numPr>
            </w:pPr>
            <w:r>
              <w:t xml:space="preserve">значение NoData установлено.</w:t>
            </w:r>
          </w:p>
          <w:p>
            <w:pPr>
              <w:jc w:val="left"/>
              <w:numPr>
                <w:numId w:val="1013"/>
                <w:ilvl w:val="0"/>
              </w:numPr>
            </w:pPr>
            <w:r>
              <w:t xml:space="preserve">Средняя квадратическая погрешность в плановом положении наземных объектов — не хуже 0,20 м;</w:t>
            </w:r>
          </w:p>
          <w:p>
            <w:pPr>
              <w:jc w:val="left"/>
              <w:numPr>
                <w:numId w:val="1013"/>
                <w:ilvl w:val="0"/>
              </w:numPr>
            </w:pPr>
            <w:r>
              <w:t xml:space="preserve">Допускается наличие смещений крыш домов и крон деревьев, так как указанные объекты не являются наземными.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Облако точек</w:t>
            </w:r>
          </w:p>
        </w:tc>
        <w:tc>
          <w:p>
            <w:pPr>
              <w:jc w:val="left"/>
              <w:numPr>
                <w:numId w:val="1015"/>
                <w:ilvl w:val="0"/>
              </w:numPr>
            </w:pPr>
            <w:r>
              <w:t xml:space="preserve">Формат — набор данных LAS стандарт 1.4.</w:t>
            </w:r>
          </w:p>
          <w:p>
            <w:pPr>
              <w:jc w:val="left"/>
              <w:numPr>
                <w:numId w:val="1015"/>
                <w:ilvl w:val="0"/>
              </w:numPr>
            </w:pPr>
            <w:r>
              <w:t xml:space="preserve">Средняя квадратическая погрешность положения точек в районе опознаков (в плане и по высоте) — не хуже 0,20 м;</w:t>
            </w:r>
          </w:p>
          <w:p>
            <w:pPr>
              <w:jc w:val="left"/>
              <w:numPr>
                <w:numId w:val="1015"/>
                <w:ilvl w:val="0"/>
              </w:numPr>
            </w:pPr>
            <w:r>
              <w:t xml:space="preserve">Плотность облака точек — не менее 10 точек/кв. м.</w:t>
            </w:r>
          </w:p>
        </w:tc>
      </w:tr>
      <w:tr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Текстурированные полигональные модели (модели)</w:t>
            </w:r>
          </w:p>
        </w:tc>
        <w:tc>
          <w:p>
            <w:pPr>
              <w:jc w:val="left"/>
              <w:numPr>
                <w:numId w:val="1016"/>
                <w:ilvl w:val="0"/>
              </w:numPr>
            </w:pPr>
            <w:r>
              <w:t xml:space="preserve">Точность моделей должна соответствовать автоматическому построению (допускаются огрехи и искажения, требующие исправления «вручную»);</w:t>
            </w:r>
          </w:p>
          <w:p>
            <w:pPr>
              <w:jc w:val="left"/>
              <w:numPr>
                <w:numId w:val="1016"/>
                <w:ilvl w:val="0"/>
              </w:numPr>
            </w:pPr>
            <w:r>
              <w:t xml:space="preserve">Модели должны выглядеть фотореалистично, допускаются «слепые» зоны;</w:t>
            </w:r>
          </w:p>
          <w:p>
            <w:pPr>
              <w:jc w:val="left"/>
              <w:numPr>
                <w:numId w:val="1016"/>
                <w:ilvl w:val="0"/>
              </w:numPr>
            </w:pPr>
            <w:r>
              <w:t xml:space="preserve">Средняя квадратическая погрешность положения элементов модели с твёрдыми контурами (в плане и по высоте) у их основания — не хуже 50 см;</w:t>
            </w:r>
          </w:p>
          <w:p>
            <w:pPr>
              <w:jc w:val="left"/>
              <w:numPr>
                <w:numId w:val="1016"/>
                <w:ilvl w:val="0"/>
              </w:numPr>
            </w:pPr>
            <w:r>
              <w:t xml:space="preserve">Объём модели — до 300 тыс. полигонов;</w:t>
            </w:r>
          </w:p>
          <w:p>
            <w:pPr>
              <w:jc w:val="left"/>
              <w:numPr>
                <w:numId w:val="1016"/>
                <w:ilvl w:val="0"/>
              </w:numPr>
            </w:pPr>
            <w:r>
              <w:t xml:space="preserve">Формат — Collada (*.DAE, *.JPG);</w:t>
            </w:r>
          </w:p>
          <w:p>
            <w:pPr>
              <w:jc w:val="left"/>
              <w:numPr>
                <w:numId w:val="1016"/>
                <w:ilvl w:val="0"/>
              </w:numPr>
            </w:pPr>
            <w:r>
              <w:t xml:space="preserve">Модели должны поддерживать импорт в Esri ArcGis ArcMap версии 10.5 и выше в автоматическом режиме.</w:t>
            </w:r>
          </w:p>
        </w:tc>
      </w:tr>
      <w:tr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Текстурированные полигональные модели, оптимизированные для размещения в сети Интернет</w:t>
            </w:r>
          </w:p>
        </w:tc>
        <w:tc>
          <w:p>
            <w:pPr>
              <w:jc w:val="left"/>
              <w:numPr>
                <w:numId w:val="1017"/>
                <w:ilvl w:val="0"/>
              </w:numPr>
            </w:pPr>
            <w:r>
              <w:t xml:space="preserve">Формат модели должен быть оптимизирован для размещения в сети Интернет на геопортале, например, тайловые пирамиды TLS (Photoscan Model Tiles);</w:t>
            </w:r>
          </w:p>
          <w:p>
            <w:pPr>
              <w:jc w:val="left"/>
              <w:numPr>
                <w:numId w:val="1017"/>
                <w:ilvl w:val="0"/>
              </w:numPr>
            </w:pPr>
            <w:r>
              <w:t xml:space="preserve">Модель разрезана нормализованной кубической сеткой;</w:t>
            </w:r>
          </w:p>
          <w:p>
            <w:pPr>
              <w:jc w:val="left"/>
              <w:numPr>
                <w:numId w:val="1017"/>
                <w:ilvl w:val="0"/>
              </w:numPr>
            </w:pPr>
            <w:r>
              <w:t xml:space="preserve">Модель оптимизирована по качеству/весу для каждого уровня пирамид мелких масштабов;</w:t>
            </w:r>
          </w:p>
          <w:p>
            <w:pPr>
              <w:jc w:val="left"/>
              <w:numPr>
                <w:numId w:val="1017"/>
                <w:ilvl w:val="0"/>
              </w:numPr>
            </w:pPr>
            <w:r>
              <w:t xml:space="preserve">Система координат соответствуют системе координат геопортала и согласовывается Заказчиком дополнительно.</w:t>
            </w:r>
          </w:p>
        </w:tc>
      </w:tr>
      <w:tr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Технический отчёт</w:t>
            </w:r>
          </w:p>
        </w:tc>
        <w:tc>
          <w:p>
            <w:pPr>
              <w:jc w:val="left"/>
              <w:numPr>
                <w:numId w:val="1018"/>
                <w:ilvl w:val="0"/>
              </w:numPr>
            </w:pPr>
            <w:r>
              <w:t xml:space="preserve">Технический отчёт по инженерным изысканиям должен соответствовать требованиям СНиП 11-02-96 (актуализированная редакция СП47.13330.2012);</w:t>
            </w:r>
          </w:p>
          <w:p>
            <w:pPr>
              <w:jc w:val="left"/>
              <w:numPr>
                <w:numId w:val="1018"/>
                <w:ilvl w:val="0"/>
              </w:numPr>
            </w:pPr>
            <w:r>
              <w:t xml:space="preserve">Технический отчёт подготавливается и передаётся Заказчику в электронном виде;</w:t>
            </w:r>
          </w:p>
          <w:p>
            <w:pPr>
              <w:jc w:val="left"/>
              <w:numPr>
                <w:numId w:val="1019"/>
                <w:ilvl w:val="1"/>
              </w:numPr>
            </w:pPr>
            <w:r>
              <w:t xml:space="preserve">По решению Заказчика технический отчёт может быть подготовлен в бумажном виде;</w:t>
            </w:r>
          </w:p>
          <w:p>
            <w:pPr>
              <w:jc w:val="left"/>
              <w:numPr>
                <w:numId w:val="1018"/>
                <w:ilvl w:val="0"/>
              </w:numPr>
            </w:pPr>
            <w:r>
              <w:t xml:space="preserve">Структурирование файлов:</w:t>
            </w:r>
          </w:p>
          <w:p>
            <w:pPr>
              <w:jc w:val="left"/>
              <w:numPr>
                <w:numId w:val="1020"/>
                <w:ilvl w:val="1"/>
              </w:numPr>
            </w:pPr>
            <w:r>
              <w:t xml:space="preserve">названия файлов и папок должны чётко отражать их содержание (за исключением случаев, в которых изменение наименования файла приведёт к его недействительности);</w:t>
            </w:r>
          </w:p>
          <w:p>
            <w:pPr>
              <w:jc w:val="left"/>
              <w:numPr>
                <w:numId w:val="1020"/>
                <w:ilvl w:val="1"/>
              </w:numPr>
            </w:pPr>
            <w:r>
              <w:t xml:space="preserve">название файлов и папок должно быть кратким (желательно не более 20 символов), но понятным;</w:t>
            </w:r>
          </w:p>
          <w:p>
            <w:pPr>
              <w:jc w:val="left"/>
              <w:numPr>
                <w:numId w:val="1020"/>
                <w:ilvl w:val="1"/>
              </w:numPr>
            </w:pPr>
            <w:r>
              <w:t xml:space="preserve">рекомендуется использовать lowerCamelCase или UpperCamelCase стиль именования папок и файлов;</w:t>
            </w:r>
          </w:p>
          <w:p>
            <w:pPr>
              <w:jc w:val="left"/>
              <w:numPr>
                <w:numId w:val="1020"/>
                <w:ilvl w:val="1"/>
              </w:numPr>
            </w:pPr>
            <w:r>
              <w:t xml:space="preserve">тематически схожие файлы и папки структурируются в родительские папки.</w:t>
            </w:r>
          </w:p>
          <w:p>
            <w:pPr>
              <w:jc w:val="left"/>
              <w:numPr>
                <w:numId w:val="1018"/>
                <w:ilvl w:val="0"/>
              </w:numPr>
            </w:pPr>
            <w:r>
              <w:t xml:space="preserve">Допустимые форматы файлов:</w:t>
            </w:r>
          </w:p>
          <w:p>
            <w:pPr>
              <w:jc w:val="left"/>
              <w:numPr>
                <w:numId w:val="1021"/>
                <w:ilvl w:val="1"/>
              </w:numPr>
            </w:pPr>
            <w:r>
              <w:t xml:space="preserve">электронных образов документов: pdf, djvu;</w:t>
            </w:r>
          </w:p>
          <w:p>
            <w:pPr>
              <w:jc w:val="left"/>
              <w:numPr>
                <w:numId w:val="1021"/>
                <w:ilvl w:val="1"/>
              </w:numPr>
            </w:pPr>
            <w:r>
              <w:t xml:space="preserve">векторных графических файлов: dwg/dxf, MapInfo tab, MapInfo mif/mid, Esri Shape;</w:t>
            </w:r>
          </w:p>
          <w:p>
            <w:pPr>
              <w:jc w:val="left"/>
              <w:numPr>
                <w:numId w:val="1021"/>
                <w:ilvl w:val="1"/>
              </w:numPr>
            </w:pPr>
            <w:r>
              <w:t xml:space="preserve">растровых графических файлов: GeoTiff, tiff, ecw, jpg, png;</w:t>
            </w:r>
          </w:p>
          <w:p>
            <w:pPr>
              <w:jc w:val="left"/>
              <w:numPr>
                <w:numId w:val="1021"/>
                <w:ilvl w:val="1"/>
              </w:numPr>
            </w:pPr>
            <w:r>
              <w:t xml:space="preserve">файлов c табличными данными: csv, xls (Microsoft Excel), ods (OpenDocument);</w:t>
            </w:r>
          </w:p>
          <w:p>
            <w:pPr>
              <w:jc w:val="left"/>
              <w:numPr>
                <w:numId w:val="1021"/>
                <w:ilvl w:val="1"/>
              </w:numPr>
            </w:pPr>
            <w:r>
              <w:t xml:space="preserve">текстовых файлов: Markdown, AsciiDoctor, ReStructuredtext, doc (Microsoft Word), odt (OpenDocument).</w:t>
            </w:r>
          </w:p>
        </w:tc>
      </w:tr>
      <w:tr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Документ, подтверждающий возможность открытого опубликования картографической продукции</w:t>
            </w:r>
          </w:p>
        </w:tc>
        <w:tc>
          <w:p>
            <w:pPr>
              <w:jc w:val="left"/>
            </w:pPr>
            <w:r>
              <w:t xml:space="preserve">Предоставляется в виде оригинала в бумажном виде, а также в виде электронного образа документа.</w:t>
            </w:r>
          </w:p>
        </w:tc>
      </w:tr>
    </w:tbl>
    <w:p>
      <w:pPr>
        <w:pStyle w:val="Heading1"/>
      </w:pPr>
      <w:bookmarkStart w:id="35" w:name="_дополнительные_условия"/>
      <w:r>
        <w:t xml:space="preserve">Дополнительные условия</w:t>
      </w:r>
      <w:bookmarkEnd w:id="35"/>
    </w:p>
    <w:p>
      <w:pPr>
        <w:numPr>
          <w:numId w:val="1022"/>
          <w:ilvl w:val="0"/>
        </w:numPr>
      </w:pPr>
      <w:r>
        <w:t xml:space="preserve">Подрядчик обязан давать Заказчику необходимые пояснения (консультации) по всем вопросам, возникающим в связи с выполнением работ и (или) использованием их результатов.</w:t>
      </w:r>
    </w:p>
    <w:p>
      <w:pPr>
        <w:numPr>
          <w:numId w:val="1022"/>
          <w:ilvl w:val="0"/>
        </w:numPr>
      </w:pPr>
      <w:r>
        <w:t xml:space="preserve">По требованию Заказчика Подрядчик должен направлять своих представителей для участия в совещаниях, связанных с выполнением работ.</w:t>
      </w:r>
    </w:p>
    <w:p>
      <w:pPr>
        <w:numPr>
          <w:numId w:val="1022"/>
          <w:ilvl w:val="0"/>
        </w:numPr>
      </w:pPr>
      <w:r>
        <w:t xml:space="preserve">Подрядчик обязан еженедельно не позднее 10 часов 00 минут каждого понедельника представлять отчёт о работах, выполненных за предыдущую неделю. Формат отчёта согласовывается Заказчиком дополнительно.</w:t>
      </w:r>
    </w:p>
    <w:p>
      <w:pPr>
        <w:numPr>
          <w:numId w:val="1022"/>
          <w:ilvl w:val="0"/>
        </w:numPr>
      </w:pPr>
      <w:r>
        <w:t xml:space="preserve">По мере подготовки выходной продукции Подрядчик передаёт её Заказчику для ознакомления.</w:t>
      </w:r>
    </w:p>
    <w:p>
      <w:pPr>
        <w:numPr>
          <w:numId w:val="1022"/>
          <w:ilvl w:val="0"/>
        </w:numPr>
      </w:pPr>
      <w:r>
        <w:t xml:space="preserve">Подрядчик передаёт выходную продукцию в электронном виде посредством сети Интернет способами, согласованными Заказчиком.</w:t>
      </w:r>
    </w:p>
    <w:p>
      <w:pPr>
        <w:numPr>
          <w:numId w:val="1022"/>
          <w:ilvl w:val="0"/>
        </w:numPr>
      </w:pPr>
      <w:r>
        <w:t xml:space="preserve">Подрядчик гарантирует, что передаваемые Заказчику результаты работ</w:t>
      </w:r>
      <w:r>
        <w:t xml:space="preserve"> </w:t>
      </w:r>
      <w:r>
        <w:t xml:space="preserve">и использование их Заказчиком, не будут нарушать чьих-либо прав. В случае появления таких претензий Подрядчик обязуется принять все возможные меры по защите интересов Заказчика, включая представление интересов в суде и компенсацию Заказчику возможных убытков в полном объёме.</w:t>
      </w:r>
    </w:p>
    <w:p>
      <w:pPr>
        <w:numPr>
          <w:numId w:val="1022"/>
          <w:ilvl w:val="0"/>
        </w:numPr>
      </w:pPr>
      <w:r>
        <w:t xml:space="preserve">Подрядчик несёт ответственность за соблюдение правил техники безопасности при производстве работ.</w:t>
      </w:r>
    </w:p>
    <w:p>
      <w:pPr>
        <w:numPr>
          <w:numId w:val="1022"/>
          <w:ilvl w:val="0"/>
        </w:numPr>
      </w:pPr>
      <w:r>
        <w:t xml:space="preserve">Подрядчик несёт ответственность за соблюдение законодательства в области охраны окружающей среды.</w:t>
      </w:r>
    </w:p>
    <w:p>
      <w:pPr>
        <w:numPr>
          <w:numId w:val="1022"/>
          <w:ilvl w:val="0"/>
        </w:numPr>
      </w:pPr>
      <w:r>
        <w:t xml:space="preserve">Не допускается осуществлять рубку деревьев, оставлять засечки на стволах, оставлять мусор в непредназначенных для этого местах.</w:t>
      </w:r>
    </w:p>
    <w:tbl>
      <w:tblPr>
        <w:tblStyle w:val="Table"/>
        <w:tblW w:type="pct" w:w="5000.0"/>
        <w:tblLook/>
      </w:tblPr>
      <w:tblGrid>
        <w:gridCol w:w="3773"/>
        <w:gridCol w:w="373"/>
        <w:gridCol w:w="3773"/>
      </w:tblGrid>
      <w:tr>
        <w:tc>
          <w:p>
            <w:pPr>
              <w:jc w:val="left"/>
            </w:pPr>
            <w:r>
              <w:rPr>
                <w:b/>
              </w:rPr>
              <w:t xml:space="preserve">Подрядчик</w:t>
            </w:r>
          </w:p>
        </w:tc>
        <w:tc>
          <w:p>
            <w:pPr>
              <w:pStyle w:val="Compact"/>
            </w:pPr>
          </w:p>
        </w:tc>
        <w:tc>
          <w:p>
            <w:pPr>
              <w:jc w:val="left"/>
            </w:pPr>
            <w:r>
              <w:rPr>
                <w:b/>
              </w:rPr>
              <w:t xml:space="preserve">Заказчик</w:t>
            </w:r>
          </w:p>
        </w:tc>
      </w:tr>
      <w:tr>
        <w:tc>
          <w:p>
            <w:pPr>
              <w:jc w:val="left"/>
            </w:pPr>
            <w:r>
              <w:t xml:space="preserve">{ФИО Подрядчика}</w:t>
            </w:r>
          </w:p>
        </w:tc>
        <w:tc>
          <w:p>
            <w:pPr>
              <w:pStyle w:val="Compact"/>
            </w:pPr>
          </w:p>
        </w:tc>
        <w:tc>
          <w:p>
            <w:pPr>
              <w:jc w:val="left"/>
            </w:pPr>
            <w:r>
              <w:t xml:space="preserve">{ФИО Заказчика}</w:t>
            </w:r>
          </w:p>
        </w:tc>
      </w:tr>
      <w:tr>
        <w:tc>
          <w:p>
            <w:pPr>
              <w:jc w:val="left"/>
            </w:pPr>
            <w:r>
              <w:t xml:space="preserve">М.П.</w:t>
            </w:r>
          </w:p>
        </w:tc>
        <w:tc>
          <w:p>
            <w:pPr>
              <w:pStyle w:val="Compact"/>
            </w:pPr>
          </w:p>
        </w:tc>
        <w:tc>
          <w:p>
            <w:pPr>
              <w:jc w:val="left"/>
            </w:pPr>
            <w:r>
              <w:t xml:space="preserve">М.П.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aaec3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260c9e8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5aff89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b2bb9da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FFFFF@bk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FFFFF@bk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Максим Гришкин FFFFF@bk.ru</dc:creator>
  <cp:keywords/>
  <dcterms:created xsi:type="dcterms:W3CDTF">2019-06-14T14:23:42Z</dcterms:created>
  <dcterms:modified xsi:type="dcterms:W3CDTF">2019-06-14T14:23:42Z</dcterms:modified>
</cp:coreProperties>
</file>