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ΙΔΙΟΚΤΗΤΕΣ ΗΛΕΚΤΡΙΚΩΝ ΟΧΗΜΑΤΩΝ</w:t>
      </w:r>
      <w:r w:rsidDel="00000000" w:rsidR="00000000" w:rsidRPr="00000000">
        <w:rPr>
          <w:rtl w:val="0"/>
        </w:rPr>
      </w:r>
    </w:p>
    <w:p w:rsidR="00000000" w:rsidDel="00000000" w:rsidP="00000000" w:rsidRDefault="00000000" w:rsidRPr="00000000" w14:paraId="00000004">
      <w:pPr>
        <w:pStyle w:val="Heading1"/>
        <w:numPr>
          <w:ilvl w:val="0"/>
          <w:numId w:val="2"/>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spacing w:after="0" w:line="240" w:lineRule="auto"/>
        <w:rPr/>
      </w:pPr>
      <w:r w:rsidDel="00000000" w:rsidR="00000000" w:rsidRPr="00000000">
        <w:rPr>
          <w:rtl w:val="0"/>
        </w:rPr>
        <w:t xml:space="preserve">1.1</w:t>
        <w:tab/>
        <w:t xml:space="preserve">Ταυτότητα - επιχειρησιακοί στόχοι</w:t>
      </w:r>
      <w:r w:rsidDel="00000000" w:rsidR="00000000" w:rsidRPr="00000000">
        <w:rPr>
          <w:rtl w:val="0"/>
        </w:rPr>
      </w:r>
    </w:p>
    <w:p w:rsidR="00000000" w:rsidDel="00000000" w:rsidP="00000000" w:rsidRDefault="00000000" w:rsidRPr="00000000" w14:paraId="00000006">
      <w:pPr>
        <w:spacing w:before="200" w:line="240" w:lineRule="auto"/>
        <w:rPr>
          <w:i w:val="1"/>
          <w:smallCaps w:val="0"/>
          <w:strike w:val="0"/>
          <w:color w:val="8496b0"/>
          <w:sz w:val="16"/>
          <w:szCs w:val="16"/>
          <w:u w:val="none"/>
          <w:shd w:fill="auto" w:val="clear"/>
          <w:vertAlign w:val="baseline"/>
        </w:rPr>
      </w:pPr>
      <w:r w:rsidDel="00000000" w:rsidR="00000000" w:rsidRPr="00000000">
        <w:rPr>
          <w:sz w:val="20"/>
          <w:szCs w:val="20"/>
          <w:rtl w:val="0"/>
        </w:rPr>
        <w:t xml:space="preserve">Σκοπός του συστήματός μας είναι η συνολική διευκόλυνση των ιδιοκτητών ηλεκτρικών οχημάτων στη διαδικασίας φόρτισης των οχημάτων τους και της αντίστοιχης πληρωμής, καθώς και στη διαχείριση και προβολή χρήσιμων πληροφοριών που αφορούν τη διαδικασία αυτή.</w:t>
      </w: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8">
      <w:pPr>
        <w:spacing w:before="200" w:lineRule="auto"/>
        <w:rPr>
          <w:sz w:val="20"/>
          <w:szCs w:val="20"/>
        </w:rPr>
      </w:pPr>
      <w:r w:rsidDel="00000000" w:rsidR="00000000" w:rsidRPr="00000000">
        <w:rPr>
          <w:sz w:val="20"/>
          <w:szCs w:val="20"/>
          <w:rtl w:val="0"/>
        </w:rPr>
        <w:t xml:space="preserve">Δυνατότητα εγγραφής μελών στην υπηρεσία και διατήρηση αποκλειστικού προφίλ χρήστη. Δυνατότητα ο χρήστης να δει στοιχεία των καταγεγραμμένων οχημάτων του, ιστορικό γεγονότων φόρτισης αυτών, πληρωμές που έχει εκτελέσει μέσα από το σύστημα, καθώς και απεικόνιση σχετικών διαγραμμάτων. Επίσης, κατά τη φόρτιση, υποστήριξη διαφορετικών μεθόδων πληρωμής, υπολογισμός αναμενόμενου και πραγματικού κόστους φόρτισης. Ακόμη, δυνατότητα εύρεσης σε χάρτη κοντινών σταθμών φόρτισης, είτε με αναζήτηση του χρήστη, είτε με χρήση πληροφοριών της τοποθεσίας του.</w:t>
      </w:r>
    </w:p>
    <w:p w:rsidR="00000000" w:rsidDel="00000000" w:rsidP="00000000" w:rsidRDefault="00000000" w:rsidRPr="00000000" w14:paraId="00000009">
      <w:pPr>
        <w:pStyle w:val="Heading1"/>
        <w:numPr>
          <w:ilvl w:val="0"/>
          <w:numId w:val="2"/>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A">
      <w:pPr>
        <w:ind w:left="0" w:firstLine="0"/>
        <w:rPr>
          <w:sz w:val="20"/>
          <w:szCs w:val="20"/>
        </w:rPr>
      </w:pPr>
      <w:r w:rsidDel="00000000" w:rsidR="00000000" w:rsidRPr="00000000">
        <w:rPr>
          <w:sz w:val="20"/>
          <w:szCs w:val="20"/>
          <w:rtl w:val="0"/>
        </w:rPr>
        <w:t xml:space="preserve">Ν/Α</w:t>
      </w:r>
      <w:r w:rsidDel="00000000" w:rsidR="00000000" w:rsidRPr="00000000">
        <w:rPr>
          <w:rtl w:val="0"/>
        </w:rPr>
      </w:r>
    </w:p>
    <w:p w:rsidR="00000000" w:rsidDel="00000000" w:rsidP="00000000" w:rsidRDefault="00000000" w:rsidRPr="00000000" w14:paraId="0000000B">
      <w:pPr>
        <w:pStyle w:val="Heading1"/>
        <w:numPr>
          <w:ilvl w:val="0"/>
          <w:numId w:val="2"/>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C">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0D">
      <w:pPr>
        <w:spacing w:before="200" w:lineRule="auto"/>
        <w:rPr>
          <w:sz w:val="20"/>
          <w:szCs w:val="20"/>
        </w:rPr>
      </w:pPr>
      <w:r w:rsidDel="00000000" w:rsidR="00000000" w:rsidRPr="00000000">
        <w:rPr>
          <w:sz w:val="20"/>
          <w:szCs w:val="20"/>
          <w:rtl w:val="0"/>
        </w:rPr>
        <w:t xml:space="preserve">Τα χαρακτηριστικά που έχουν σημασία για τους ιδιοκτήτες ηλεκτρικών οχημάτων έχουν ως εξής:</w:t>
      </w:r>
    </w:p>
    <w:p w:rsidR="00000000" w:rsidDel="00000000" w:rsidP="00000000" w:rsidRDefault="00000000" w:rsidRPr="00000000" w14:paraId="0000000E">
      <w:pPr>
        <w:numPr>
          <w:ilvl w:val="0"/>
          <w:numId w:val="1"/>
        </w:numPr>
        <w:spacing w:before="0" w:lineRule="auto"/>
        <w:ind w:left="720" w:hanging="360"/>
        <w:rPr>
          <w:sz w:val="20"/>
          <w:szCs w:val="20"/>
          <w:u w:val="none"/>
        </w:rPr>
      </w:pPr>
      <w:r w:rsidDel="00000000" w:rsidR="00000000" w:rsidRPr="00000000">
        <w:rPr>
          <w:sz w:val="20"/>
          <w:szCs w:val="20"/>
          <w:rtl w:val="0"/>
        </w:rPr>
        <w:t xml:space="preserve">Διατήρηση των δεδομένων του προφίλ κάθε χρήστη με ασφάλεια σε μια ΒΔ όπου δε θα είναι προσβάσιμα από κάποιον άλλον.</w:t>
      </w:r>
    </w:p>
    <w:p w:rsidR="00000000" w:rsidDel="00000000" w:rsidP="00000000" w:rsidRDefault="00000000" w:rsidRPr="00000000" w14:paraId="0000000F">
      <w:pPr>
        <w:numPr>
          <w:ilvl w:val="0"/>
          <w:numId w:val="1"/>
        </w:numPr>
        <w:spacing w:before="0" w:lineRule="auto"/>
        <w:ind w:left="720" w:hanging="360"/>
        <w:rPr>
          <w:sz w:val="20"/>
          <w:szCs w:val="20"/>
          <w:u w:val="none"/>
        </w:rPr>
      </w:pPr>
      <w:r w:rsidDel="00000000" w:rsidR="00000000" w:rsidRPr="00000000">
        <w:rPr>
          <w:sz w:val="20"/>
          <w:szCs w:val="20"/>
          <w:rtl w:val="0"/>
        </w:rPr>
        <w:t xml:space="preserve">Προβολή ιστορικού ενεργειών που έχει εκτελέσει ο χρήστης (φορτίσεις, πληρωμές κ.α.), καθώς και σύνοψη αυτών με πίνακες, διαγράμματα που πιθανώς να τον ενδιαφέρουν.</w:t>
      </w:r>
    </w:p>
    <w:p w:rsidR="00000000" w:rsidDel="00000000" w:rsidP="00000000" w:rsidRDefault="00000000" w:rsidRPr="00000000" w14:paraId="00000010">
      <w:pPr>
        <w:numPr>
          <w:ilvl w:val="0"/>
          <w:numId w:val="1"/>
        </w:numPr>
        <w:spacing w:before="0" w:lineRule="auto"/>
        <w:ind w:left="720" w:hanging="360"/>
        <w:rPr>
          <w:sz w:val="20"/>
          <w:szCs w:val="20"/>
          <w:u w:val="none"/>
        </w:rPr>
      </w:pPr>
      <w:r w:rsidDel="00000000" w:rsidR="00000000" w:rsidRPr="00000000">
        <w:rPr>
          <w:sz w:val="20"/>
          <w:szCs w:val="20"/>
          <w:rtl w:val="0"/>
        </w:rPr>
        <w:t xml:space="preserve">Σύνδεση με συστήματα ηλεκτρονικών πληρωμών, ώστε να παρέχονται στον χρήστη οι επιθυμητοί τρόποι πληρωμής, ύστερα από ένα γεγονός φόρτισης οχήματός του.</w:t>
      </w:r>
    </w:p>
    <w:p w:rsidR="00000000" w:rsidDel="00000000" w:rsidP="00000000" w:rsidRDefault="00000000" w:rsidRPr="00000000" w14:paraId="00000011">
      <w:pPr>
        <w:numPr>
          <w:ilvl w:val="0"/>
          <w:numId w:val="1"/>
        </w:numPr>
        <w:spacing w:before="0" w:lineRule="auto"/>
        <w:ind w:left="720" w:hanging="360"/>
        <w:rPr>
          <w:sz w:val="20"/>
          <w:szCs w:val="20"/>
          <w:u w:val="none"/>
        </w:rPr>
      </w:pPr>
      <w:r w:rsidDel="00000000" w:rsidR="00000000" w:rsidRPr="00000000">
        <w:rPr>
          <w:sz w:val="20"/>
          <w:szCs w:val="20"/>
          <w:rtl w:val="0"/>
        </w:rPr>
        <w:t xml:space="preserve">Χρήση δεδομένων του οχήματος και αναγνώριση της τρέχουσας κατάστασής του, με σκοπό τον υπολογισμό αναμενόμενου κόστους μιας φόρτισης πριν από αυτή, αλλά και υπολογισμό τελικού κόστους αφού αυτή ολοκληρωθεί.</w:t>
      </w:r>
    </w:p>
    <w:p w:rsidR="00000000" w:rsidDel="00000000" w:rsidP="00000000" w:rsidRDefault="00000000" w:rsidRPr="00000000" w14:paraId="00000012">
      <w:pPr>
        <w:numPr>
          <w:ilvl w:val="0"/>
          <w:numId w:val="1"/>
        </w:numPr>
        <w:spacing w:before="0" w:lineRule="auto"/>
        <w:ind w:left="720" w:hanging="360"/>
        <w:rPr>
          <w:sz w:val="20"/>
          <w:szCs w:val="20"/>
          <w:u w:val="none"/>
        </w:rPr>
      </w:pPr>
      <w:r w:rsidDel="00000000" w:rsidR="00000000" w:rsidRPr="00000000">
        <w:rPr>
          <w:sz w:val="20"/>
          <w:szCs w:val="20"/>
          <w:rtl w:val="0"/>
        </w:rPr>
        <w:t xml:space="preserve">Χρήση στοιχείων τοποθεσίας τού χρήστη, με σκοπό την εύρεση κοντινών σταθμών φόρτισης και δυνατότητα αναζήτησης του χρήστη σε χάρτη για σταθμούς γύρω από μια συγκεκριμένη περιοχή.</w:t>
      </w: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Αριθμός εγγεγραμμένων χρηστών στο σύστημα και αξιολογήσεις αυτών. Επίσης, ακρίβεια και άμεση ενημέρωση δεδομένων όταν ολοκληρωθεί κάποιο γεγονός φόρτισης, συναλλαγής κτλ.</w:t>
      </w:r>
      <w:r w:rsidDel="00000000" w:rsidR="00000000" w:rsidRPr="00000000">
        <w:rPr>
          <w:rtl w:val="0"/>
        </w:rPr>
      </w:r>
    </w:p>
    <w:p w:rsidR="00000000" w:rsidDel="00000000" w:rsidP="00000000" w:rsidRDefault="00000000" w:rsidRPr="00000000" w14:paraId="00000015">
      <w:pPr>
        <w:pStyle w:val="Heading1"/>
        <w:numPr>
          <w:ilvl w:val="0"/>
          <w:numId w:val="2"/>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Ασφάλεια πρόσβασης στα δεδομένα ενός χρήστη. Εξασφάλιση ελάχιστης πιθανότητας αποτυχίας του συστήματος, ιδιαίτερα κατά τη διαδικασία πληρωμής. Γρήγορη απόκριση του συστήματος. Έγκυρες και ακριβείς πληροφορίες για σταθμούς φόρτισης και προφανώς για τα δεδομένα του προφίλ του χρήστη. Ευπαρουσίαστη και εύκολα κατανοητή προβολή όποιος πληροφορίας ζητήσει ο χρήστης.</w:t>
      </w:r>
    </w:p>
    <w:p w:rsidR="00000000" w:rsidDel="00000000" w:rsidP="00000000" w:rsidRDefault="00000000" w:rsidRPr="00000000" w14:paraId="00000017">
      <w:pPr>
        <w:pStyle w:val="Heading1"/>
        <w:numPr>
          <w:ilvl w:val="0"/>
          <w:numId w:val="2"/>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Το σύστημα πρέπει να επιτρέπει στον χρήστη να ολοκληρώσει επιτυχώς και με ευκολία μια διαδικασία φόρτισης πληρώνοντας το αντίτιμο που αναλογεί. Ακόμη, κρίνεται απαραίτητη η ταυτοποίηση του χρήστη κατά την είσοδό του στο σύστημα. Τέλος, το γραφικό περιβάλλον πρέπει να είναι εύχρηστο, χωρίς να απαιτεί γνώσεις προγραμματισμού από τον χρήστη κατά την αλληλεπίδρασή του με αυτό.</w:t>
      </w:r>
    </w:p>
    <w:p w:rsidR="00000000" w:rsidDel="00000000" w:rsidP="00000000" w:rsidRDefault="00000000" w:rsidRPr="00000000" w14:paraId="00000019">
      <w:pPr>
        <w:pStyle w:val="Heading1"/>
        <w:numPr>
          <w:ilvl w:val="0"/>
          <w:numId w:val="2"/>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Ο σημαντικότερος περιορισμός που επιβάλλει το σύστημα είναι η ανάγκη σύνδεσης στο διαδίκτυο για τη χρήση του. Από τη μεριά των χρηστών, υπάρχει ο περιορισμός το σύστημα να είναι δωρεάν και διαθέσιμο για όλους.</w:t>
      </w:r>
    </w:p>
    <w:p w:rsidR="00000000" w:rsidDel="00000000" w:rsidP="00000000" w:rsidRDefault="00000000" w:rsidRPr="00000000" w14:paraId="0000001B">
      <w:pPr>
        <w:pStyle w:val="Heading1"/>
        <w:numPr>
          <w:ilvl w:val="0"/>
          <w:numId w:val="2"/>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ΒΔ: Βάση Δεδομένων</w:t>
      </w:r>
    </w:p>
    <w:sectPr>
      <w:footerReference r:id="rId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 46</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9CfMnUL7eNzFiZegoid7jAWBBQ==">AMUW2mV2mJwaYR5VXYZoNA3WKyGeFNALsijaYt9nljjAE9OF9pqhyB1FdIqs4glXiSoH5GXjvaiXYXu/n9P0qIByyUAWA0IVakXZDZB84sp+3gPFTZb66Uk=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