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D78"/>
          <w:sz w:val="48"/>
        </w:rPr>
        <w:t>Privacy Policy</w:t>
      </w:r>
    </w:p>
    <w:p>
      <w:pPr>
        <w:spacing w:after="360"/>
        <w:jc w:val="center"/>
      </w:pPr>
      <w:r>
        <w:rPr>
          <w:rFonts w:ascii="Calibri" w:hAnsi="Calibri"/>
          <w:b w:val="0"/>
          <w:color w:val="555555"/>
          <w:sz w:val="22"/>
        </w:rPr>
        <w:t>HOD Panel | Tokala Technologies</w:t>
        <w:br/>
        <w:t>Effective Date: 12 February 2026</w:t>
      </w:r>
    </w:p>
    <w:p>
      <w:pPr>
        <w:spacing w:after="120" w:line="264" w:lineRule="auto"/>
      </w:pPr>
      <w:r>
        <w:rPr>
          <w:rFonts w:ascii="Calibri" w:hAnsi="Calibri"/>
          <w:b w:val="0"/>
          <w:sz w:val="22"/>
        </w:rPr>
        <w:t>Welcome to HOD Panel, a college department management application by Tokala Technologies. Your privacy is important to us. This Privacy Policy explains how we collect, use, store, share, and protect information when you use our application, website, or related services.</w:t>
      </w:r>
    </w:p>
    <w:p>
      <w:pPr>
        <w:spacing w:after="120" w:line="264" w:lineRule="auto"/>
      </w:pPr>
      <w:r>
        <w:rPr>
          <w:rFonts w:ascii="Calibri" w:hAnsi="Calibri"/>
          <w:b w:val="0"/>
          <w:sz w:val="22"/>
        </w:rPr>
        <w:t>By using the application, you agree to the practices described in this Privacy Policy.</w:t>
      </w:r>
    </w:p>
    <w:p>
      <w:pPr>
        <w:pStyle w:val="Heading1"/>
        <w:spacing w:before="280" w:after="120"/>
      </w:pPr>
      <w:r>
        <w:rPr>
          <w:rFonts w:ascii="Calibri" w:hAnsi="Calibri"/>
          <w:b/>
          <w:color w:val="2E74B5"/>
          <w:sz w:val="32"/>
        </w:rPr>
        <w:t>1. Information We Collect</w:t>
      </w:r>
    </w:p>
    <w:p>
      <w:pPr>
        <w:spacing w:after="120" w:line="264" w:lineRule="auto"/>
      </w:pPr>
      <w:r>
        <w:rPr>
          <w:rFonts w:ascii="Calibri" w:hAnsi="Calibri"/>
          <w:b w:val="0"/>
          <w:sz w:val="22"/>
        </w:rPr>
        <w:t>Depending on the features used, we may collect the following types of information.</w:t>
      </w:r>
    </w:p>
    <w:p>
      <w:pPr>
        <w:pStyle w:val="Heading2"/>
        <w:spacing w:before="200" w:after="120"/>
      </w:pPr>
      <w:r>
        <w:rPr>
          <w:rFonts w:ascii="Calibri" w:hAnsi="Calibri"/>
          <w:b/>
          <w:color w:val="2E74B5"/>
          <w:sz w:val="26"/>
        </w:rPr>
        <w:t>1.1 Personal Information</w:t>
      </w:r>
    </w:p>
    <w:p>
      <w:pPr>
        <w:pStyle w:val="ListBullet"/>
        <w:spacing w:after="80" w:line="264" w:lineRule="auto"/>
      </w:pPr>
      <w:r>
        <w:rPr>
          <w:rFonts w:ascii="Calibri" w:hAnsi="Calibri"/>
          <w:b w:val="0"/>
          <w:sz w:val="22"/>
        </w:rPr>
        <w:t>Full name</w:t>
      </w:r>
    </w:p>
    <w:p>
      <w:pPr>
        <w:pStyle w:val="ListBullet"/>
        <w:spacing w:after="80" w:line="264" w:lineRule="auto"/>
      </w:pPr>
      <w:r>
        <w:rPr>
          <w:rFonts w:ascii="Calibri" w:hAnsi="Calibri"/>
          <w:b w:val="0"/>
          <w:sz w:val="22"/>
        </w:rPr>
        <w:t>Email address</w:t>
      </w:r>
    </w:p>
    <w:p>
      <w:pPr>
        <w:pStyle w:val="ListBullet"/>
        <w:spacing w:after="80" w:line="264" w:lineRule="auto"/>
      </w:pPr>
      <w:r>
        <w:rPr>
          <w:rFonts w:ascii="Calibri" w:hAnsi="Calibri"/>
          <w:b w:val="0"/>
          <w:sz w:val="22"/>
        </w:rPr>
        <w:t>Mobile number</w:t>
      </w:r>
    </w:p>
    <w:p>
      <w:pPr>
        <w:pStyle w:val="ListBullet"/>
        <w:spacing w:after="80" w:line="264" w:lineRule="auto"/>
      </w:pPr>
      <w:r>
        <w:rPr>
          <w:rFonts w:ascii="Calibri" w:hAnsi="Calibri"/>
          <w:b w:val="0"/>
          <w:sz w:val="22"/>
        </w:rPr>
        <w:t>Profile information</w:t>
      </w:r>
    </w:p>
    <w:p>
      <w:pPr>
        <w:pStyle w:val="ListBullet"/>
        <w:spacing w:after="80" w:line="264" w:lineRule="auto"/>
      </w:pPr>
      <w:r>
        <w:rPr>
          <w:rFonts w:ascii="Calibri" w:hAnsi="Calibri"/>
          <w:b w:val="0"/>
          <w:sz w:val="22"/>
        </w:rPr>
        <w:t>User ID or account information</w:t>
      </w:r>
    </w:p>
    <w:p>
      <w:pPr>
        <w:pStyle w:val="ListBullet"/>
        <w:spacing w:after="80" w:line="264" w:lineRule="auto"/>
      </w:pPr>
      <w:r>
        <w:rPr>
          <w:rFonts w:ascii="Calibri" w:hAnsi="Calibri"/>
          <w:b w:val="0"/>
          <w:sz w:val="22"/>
        </w:rPr>
        <w:t>Address information, if required</w:t>
      </w:r>
    </w:p>
    <w:p>
      <w:pPr>
        <w:pStyle w:val="ListBullet"/>
        <w:spacing w:after="80" w:line="264" w:lineRule="auto"/>
      </w:pPr>
      <w:r>
        <w:rPr>
          <w:rFonts w:ascii="Calibri" w:hAnsi="Calibri"/>
          <w:b w:val="0"/>
          <w:sz w:val="22"/>
        </w:rPr>
        <w:t>Student or staff information needed for attendance, events, results, and approvals</w:t>
      </w:r>
    </w:p>
    <w:p>
      <w:pPr>
        <w:pStyle w:val="Heading2"/>
        <w:spacing w:before="200" w:after="120"/>
      </w:pPr>
      <w:r>
        <w:rPr>
          <w:rFonts w:ascii="Calibri" w:hAnsi="Calibri"/>
          <w:b/>
          <w:color w:val="2E74B5"/>
          <w:sz w:val="26"/>
        </w:rPr>
        <w:t>1.2 Device Information</w:t>
      </w:r>
    </w:p>
    <w:p>
      <w:pPr>
        <w:pStyle w:val="ListBullet"/>
        <w:spacing w:after="80" w:line="264" w:lineRule="auto"/>
      </w:pPr>
      <w:r>
        <w:rPr>
          <w:rFonts w:ascii="Calibri" w:hAnsi="Calibri"/>
          <w:b w:val="0"/>
          <w:sz w:val="22"/>
        </w:rPr>
        <w:t>Device model</w:t>
      </w:r>
    </w:p>
    <w:p>
      <w:pPr>
        <w:pStyle w:val="ListBullet"/>
        <w:spacing w:after="80" w:line="264" w:lineRule="auto"/>
      </w:pPr>
      <w:r>
        <w:rPr>
          <w:rFonts w:ascii="Calibri" w:hAnsi="Calibri"/>
          <w:b w:val="0"/>
          <w:sz w:val="22"/>
        </w:rPr>
        <w:t>Operating system version</w:t>
      </w:r>
    </w:p>
    <w:p>
      <w:pPr>
        <w:pStyle w:val="ListBullet"/>
        <w:spacing w:after="80" w:line="264" w:lineRule="auto"/>
      </w:pPr>
      <w:r>
        <w:rPr>
          <w:rFonts w:ascii="Calibri" w:hAnsi="Calibri"/>
          <w:b w:val="0"/>
          <w:sz w:val="22"/>
        </w:rPr>
        <w:t>Device identifier</w:t>
      </w:r>
    </w:p>
    <w:p>
      <w:pPr>
        <w:pStyle w:val="ListBullet"/>
        <w:spacing w:after="80" w:line="264" w:lineRule="auto"/>
      </w:pPr>
      <w:r>
        <w:rPr>
          <w:rFonts w:ascii="Calibri" w:hAnsi="Calibri"/>
          <w:b w:val="0"/>
          <w:sz w:val="22"/>
        </w:rPr>
        <w:t>Browser information</w:t>
      </w:r>
    </w:p>
    <w:p>
      <w:pPr>
        <w:pStyle w:val="ListBullet"/>
        <w:spacing w:after="80" w:line="264" w:lineRule="auto"/>
      </w:pPr>
      <w:r>
        <w:rPr>
          <w:rFonts w:ascii="Calibri" w:hAnsi="Calibri"/>
          <w:b w:val="0"/>
          <w:sz w:val="22"/>
        </w:rPr>
        <w:t>IP address</w:t>
      </w:r>
    </w:p>
    <w:p>
      <w:pPr>
        <w:pStyle w:val="ListBullet"/>
        <w:spacing w:after="80" w:line="264" w:lineRule="auto"/>
      </w:pPr>
      <w:r>
        <w:rPr>
          <w:rFonts w:ascii="Calibri" w:hAnsi="Calibri"/>
          <w:b w:val="0"/>
          <w:sz w:val="22"/>
        </w:rPr>
        <w:t>Application version</w:t>
      </w:r>
    </w:p>
    <w:p>
      <w:pPr>
        <w:pStyle w:val="Heading2"/>
        <w:spacing w:before="200" w:after="120"/>
      </w:pPr>
      <w:r>
        <w:rPr>
          <w:rFonts w:ascii="Calibri" w:hAnsi="Calibri"/>
          <w:b/>
          <w:color w:val="2E74B5"/>
          <w:sz w:val="26"/>
        </w:rPr>
        <w:t>1.3 Usage Information</w:t>
      </w:r>
    </w:p>
    <w:p>
      <w:pPr>
        <w:pStyle w:val="ListBullet"/>
        <w:spacing w:after="80" w:line="264" w:lineRule="auto"/>
      </w:pPr>
      <w:r>
        <w:rPr>
          <w:rFonts w:ascii="Calibri" w:hAnsi="Calibri"/>
          <w:b w:val="0"/>
          <w:sz w:val="22"/>
        </w:rPr>
        <w:t>Login activity</w:t>
      </w:r>
    </w:p>
    <w:p>
      <w:pPr>
        <w:pStyle w:val="ListBullet"/>
        <w:spacing w:after="80" w:line="264" w:lineRule="auto"/>
      </w:pPr>
      <w:r>
        <w:rPr>
          <w:rFonts w:ascii="Calibri" w:hAnsi="Calibri"/>
          <w:b w:val="0"/>
          <w:sz w:val="22"/>
        </w:rPr>
        <w:t>Feature usage data</w:t>
      </w:r>
    </w:p>
    <w:p>
      <w:pPr>
        <w:pStyle w:val="ListBullet"/>
        <w:spacing w:after="80" w:line="264" w:lineRule="auto"/>
      </w:pPr>
      <w:r>
        <w:rPr>
          <w:rFonts w:ascii="Calibri" w:hAnsi="Calibri"/>
          <w:b w:val="0"/>
          <w:sz w:val="22"/>
        </w:rPr>
        <w:t>User preferences</w:t>
      </w:r>
    </w:p>
    <w:p>
      <w:pPr>
        <w:pStyle w:val="ListBullet"/>
        <w:spacing w:after="80" w:line="264" w:lineRule="auto"/>
      </w:pPr>
      <w:r>
        <w:rPr>
          <w:rFonts w:ascii="Calibri" w:hAnsi="Calibri"/>
          <w:b w:val="0"/>
          <w:sz w:val="22"/>
        </w:rPr>
        <w:t>Application interaction information</w:t>
      </w:r>
    </w:p>
    <w:p>
      <w:pPr>
        <w:pStyle w:val="ListBullet"/>
        <w:spacing w:after="80" w:line="264" w:lineRule="auto"/>
      </w:pPr>
      <w:r>
        <w:rPr>
          <w:rFonts w:ascii="Calibri" w:hAnsi="Calibri"/>
          <w:b w:val="0"/>
          <w:sz w:val="22"/>
        </w:rPr>
        <w:t>Error logs and crash reports</w:t>
      </w:r>
    </w:p>
    <w:p>
      <w:pPr>
        <w:pStyle w:val="Heading2"/>
        <w:spacing w:before="200" w:after="120"/>
      </w:pPr>
      <w:r>
        <w:rPr>
          <w:rFonts w:ascii="Calibri" w:hAnsi="Calibri"/>
          <w:b/>
          <w:color w:val="2E74B5"/>
          <w:sz w:val="26"/>
        </w:rPr>
        <w:t>1.4 Location Information</w:t>
      </w:r>
    </w:p>
    <w:p>
      <w:pPr>
        <w:spacing w:after="120" w:line="264" w:lineRule="auto"/>
      </w:pPr>
      <w:r>
        <w:rPr>
          <w:rFonts w:ascii="Calibri" w:hAnsi="Calibri"/>
          <w:b w:val="0"/>
          <w:sz w:val="22"/>
        </w:rPr>
        <w:t>If location-based features are enabled, we may collect approximate or precise location information with user permission. Location access is optional and is used only for relevant application features.</w:t>
      </w:r>
    </w:p>
    <w:p>
      <w:pPr>
        <w:pStyle w:val="Heading1"/>
        <w:spacing w:before="280" w:after="120"/>
      </w:pPr>
      <w:r>
        <w:rPr>
          <w:rFonts w:ascii="Calibri" w:hAnsi="Calibri"/>
          <w:b/>
          <w:color w:val="2E74B5"/>
          <w:sz w:val="32"/>
        </w:rPr>
        <w:t>2. How We Use Your Information</w:t>
      </w:r>
    </w:p>
    <w:p>
      <w:pPr>
        <w:pStyle w:val="ListBullet"/>
        <w:spacing w:after="80" w:line="264" w:lineRule="auto"/>
      </w:pPr>
      <w:r>
        <w:rPr>
          <w:rFonts w:ascii="Calibri" w:hAnsi="Calibri"/>
          <w:b w:val="0"/>
          <w:sz w:val="22"/>
        </w:rPr>
        <w:t>Provide and maintain the application and related services</w:t>
      </w:r>
    </w:p>
    <w:p>
      <w:pPr>
        <w:pStyle w:val="ListBullet"/>
        <w:spacing w:after="80" w:line="264" w:lineRule="auto"/>
      </w:pPr>
      <w:r>
        <w:rPr>
          <w:rFonts w:ascii="Calibri" w:hAnsi="Calibri"/>
          <w:b w:val="0"/>
          <w:sz w:val="22"/>
        </w:rPr>
        <w:t>Create and manage user accounts</w:t>
      </w:r>
    </w:p>
    <w:p>
      <w:pPr>
        <w:pStyle w:val="ListBullet"/>
        <w:spacing w:after="80" w:line="264" w:lineRule="auto"/>
      </w:pPr>
      <w:r>
        <w:rPr>
          <w:rFonts w:ascii="Calibri" w:hAnsi="Calibri"/>
          <w:b w:val="0"/>
          <w:sz w:val="22"/>
        </w:rPr>
        <w:t>Manage students, attendance, events, results, approvals, and support requests</w:t>
      </w:r>
    </w:p>
    <w:p>
      <w:pPr>
        <w:pStyle w:val="ListBullet"/>
        <w:spacing w:after="80" w:line="264" w:lineRule="auto"/>
      </w:pPr>
      <w:r>
        <w:rPr>
          <w:rFonts w:ascii="Calibri" w:hAnsi="Calibri"/>
          <w:b w:val="0"/>
          <w:sz w:val="22"/>
        </w:rPr>
        <w:t>Improve application performance and user experience</w:t>
      </w:r>
    </w:p>
    <w:p>
      <w:pPr>
        <w:pStyle w:val="ListBullet"/>
        <w:spacing w:after="80" w:line="264" w:lineRule="auto"/>
      </w:pPr>
      <w:r>
        <w:rPr>
          <w:rFonts w:ascii="Calibri" w:hAnsi="Calibri"/>
          <w:b w:val="0"/>
          <w:sz w:val="22"/>
        </w:rPr>
        <w:t>Process requests, registrations, or transactions</w:t>
      </w:r>
    </w:p>
    <w:p>
      <w:pPr>
        <w:pStyle w:val="ListBullet"/>
        <w:spacing w:after="80" w:line="264" w:lineRule="auto"/>
      </w:pPr>
      <w:r>
        <w:rPr>
          <w:rFonts w:ascii="Calibri" w:hAnsi="Calibri"/>
          <w:b w:val="0"/>
          <w:sz w:val="22"/>
        </w:rPr>
        <w:t>Send important service-related notifications</w:t>
      </w:r>
    </w:p>
    <w:p>
      <w:pPr>
        <w:pStyle w:val="ListBullet"/>
        <w:spacing w:after="80" w:line="264" w:lineRule="auto"/>
      </w:pPr>
      <w:r>
        <w:rPr>
          <w:rFonts w:ascii="Calibri" w:hAnsi="Calibri"/>
          <w:b w:val="0"/>
          <w:sz w:val="22"/>
        </w:rPr>
        <w:t>Provide customer support</w:t>
      </w:r>
    </w:p>
    <w:p>
      <w:pPr>
        <w:pStyle w:val="ListBullet"/>
        <w:spacing w:after="80" w:line="264" w:lineRule="auto"/>
      </w:pPr>
      <w:r>
        <w:rPr>
          <w:rFonts w:ascii="Calibri" w:hAnsi="Calibri"/>
          <w:b w:val="0"/>
          <w:sz w:val="22"/>
        </w:rPr>
        <w:t>Ensure security and prevent misuse</w:t>
      </w:r>
    </w:p>
    <w:p>
      <w:pPr>
        <w:pStyle w:val="ListBullet"/>
        <w:spacing w:after="80" w:line="264" w:lineRule="auto"/>
      </w:pPr>
      <w:r>
        <w:rPr>
          <w:rFonts w:ascii="Calibri" w:hAnsi="Calibri"/>
          <w:b w:val="0"/>
          <w:sz w:val="22"/>
        </w:rPr>
        <w:t>Comply with legal obligations</w:t>
      </w:r>
    </w:p>
    <w:p>
      <w:pPr>
        <w:pStyle w:val="Heading1"/>
        <w:spacing w:before="280" w:after="120"/>
      </w:pPr>
      <w:r>
        <w:rPr>
          <w:rFonts w:ascii="Calibri" w:hAnsi="Calibri"/>
          <w:b/>
          <w:color w:val="2E74B5"/>
          <w:sz w:val="32"/>
        </w:rPr>
        <w:t>3. Legal Basis for Processing</w:t>
      </w:r>
    </w:p>
    <w:p>
      <w:pPr>
        <w:spacing w:after="120" w:line="264" w:lineRule="auto"/>
      </w:pPr>
      <w:r>
        <w:rPr>
          <w:rFonts w:ascii="Calibri" w:hAnsi="Calibri"/>
          <w:b w:val="0"/>
          <w:sz w:val="22"/>
        </w:rPr>
        <w:t>Where required by applicable law, we process personal information based on user consent, performance of services, legal compliance requirements, or legitimate business interests.</w:t>
      </w:r>
    </w:p>
    <w:p>
      <w:pPr>
        <w:pStyle w:val="Heading1"/>
        <w:spacing w:before="280" w:after="120"/>
      </w:pPr>
      <w:r>
        <w:rPr>
          <w:rFonts w:ascii="Calibri" w:hAnsi="Calibri"/>
          <w:b/>
          <w:color w:val="2E74B5"/>
          <w:sz w:val="32"/>
        </w:rPr>
        <w:t>4. Children and Student Privacy</w:t>
      </w:r>
    </w:p>
    <w:p>
      <w:pPr>
        <w:spacing w:after="120" w:line="264" w:lineRule="auto"/>
      </w:pPr>
      <w:r>
        <w:rPr>
          <w:rFonts w:ascii="Calibri" w:hAnsi="Calibri"/>
          <w:b w:val="0"/>
          <w:sz w:val="22"/>
        </w:rPr>
        <w:t>The application may be used in an educational environment. If personal information belongs to a child or student who requires parental, guardian, or institutional authorization under applicable law, the authorized user or institution is responsible for ensuring proper permission has been obtained.</w:t>
      </w:r>
    </w:p>
    <w:p>
      <w:pPr>
        <w:spacing w:after="120" w:line="264" w:lineRule="auto"/>
      </w:pPr>
      <w:r>
        <w:rPr>
          <w:rFonts w:ascii="Calibri" w:hAnsi="Calibri"/>
          <w:b w:val="0"/>
          <w:sz w:val="22"/>
        </w:rPr>
        <w:t>If we become aware that personal information has been collected without appropriate authorization, we will take reasonable steps to remove such information.</w:t>
      </w:r>
    </w:p>
    <w:p>
      <w:pPr>
        <w:pStyle w:val="Heading1"/>
        <w:spacing w:before="280" w:after="120"/>
      </w:pPr>
      <w:r>
        <w:rPr>
          <w:rFonts w:ascii="Calibri" w:hAnsi="Calibri"/>
          <w:b/>
          <w:color w:val="2E74B5"/>
          <w:sz w:val="32"/>
        </w:rPr>
        <w:t>5. Data Sharing and Disclosure</w:t>
      </w:r>
    </w:p>
    <w:p>
      <w:pPr>
        <w:spacing w:after="120" w:line="264" w:lineRule="auto"/>
      </w:pPr>
      <w:r>
        <w:rPr>
          <w:rFonts w:ascii="Calibri" w:hAnsi="Calibri"/>
          <w:b w:val="0"/>
          <w:sz w:val="22"/>
        </w:rPr>
        <w:t>We do not sell personal information. We may share information only when needed with:</w:t>
      </w:r>
    </w:p>
    <w:p>
      <w:pPr>
        <w:pStyle w:val="ListBullet"/>
        <w:spacing w:after="80" w:line="264" w:lineRule="auto"/>
      </w:pPr>
      <w:r>
        <w:rPr>
          <w:rFonts w:ascii="Calibri" w:hAnsi="Calibri"/>
          <w:b w:val="0"/>
          <w:sz w:val="22"/>
        </w:rPr>
        <w:t>Service providers and technology partners</w:t>
      </w:r>
    </w:p>
    <w:p>
      <w:pPr>
        <w:pStyle w:val="ListBullet"/>
        <w:spacing w:after="80" w:line="264" w:lineRule="auto"/>
      </w:pPr>
      <w:r>
        <w:rPr>
          <w:rFonts w:ascii="Calibri" w:hAnsi="Calibri"/>
          <w:b w:val="0"/>
          <w:sz w:val="22"/>
        </w:rPr>
        <w:t>Cloud storage or hosting providers</w:t>
      </w:r>
    </w:p>
    <w:p>
      <w:pPr>
        <w:pStyle w:val="ListBullet"/>
        <w:spacing w:after="80" w:line="264" w:lineRule="auto"/>
      </w:pPr>
      <w:r>
        <w:rPr>
          <w:rFonts w:ascii="Calibri" w:hAnsi="Calibri"/>
          <w:b w:val="0"/>
          <w:sz w:val="22"/>
        </w:rPr>
        <w:t>Payment processors, if payment features are used</w:t>
      </w:r>
    </w:p>
    <w:p>
      <w:pPr>
        <w:pStyle w:val="ListBullet"/>
        <w:spacing w:after="80" w:line="264" w:lineRule="auto"/>
      </w:pPr>
      <w:r>
        <w:rPr>
          <w:rFonts w:ascii="Calibri" w:hAnsi="Calibri"/>
          <w:b w:val="0"/>
          <w:sz w:val="22"/>
        </w:rPr>
        <w:t>Analytics providers</w:t>
      </w:r>
    </w:p>
    <w:p>
      <w:pPr>
        <w:pStyle w:val="ListBullet"/>
        <w:spacing w:after="80" w:line="264" w:lineRule="auto"/>
      </w:pPr>
      <w:r>
        <w:rPr>
          <w:rFonts w:ascii="Calibri" w:hAnsi="Calibri"/>
          <w:b w:val="0"/>
          <w:sz w:val="22"/>
        </w:rPr>
        <w:t>Government or regulatory authorities when legally required</w:t>
      </w:r>
    </w:p>
    <w:p>
      <w:pPr>
        <w:pStyle w:val="ListBullet"/>
        <w:spacing w:after="80" w:line="264" w:lineRule="auto"/>
      </w:pPr>
      <w:r>
        <w:rPr>
          <w:rFonts w:ascii="Calibri" w:hAnsi="Calibri"/>
          <w:b w:val="0"/>
          <w:sz w:val="22"/>
        </w:rPr>
        <w:t>Business partners involved in providing services</w:t>
      </w:r>
    </w:p>
    <w:p>
      <w:pPr>
        <w:spacing w:after="120" w:line="264" w:lineRule="auto"/>
      </w:pPr>
      <w:r>
        <w:rPr>
          <w:rFonts w:ascii="Calibri" w:hAnsi="Calibri"/>
          <w:b w:val="0"/>
          <w:sz w:val="22"/>
        </w:rPr>
        <w:t>All third parties are expected to maintain appropriate security measures.</w:t>
      </w:r>
    </w:p>
    <w:p>
      <w:pPr>
        <w:pStyle w:val="Heading1"/>
        <w:spacing w:before="280" w:after="120"/>
      </w:pPr>
      <w:r>
        <w:rPr>
          <w:rFonts w:ascii="Calibri" w:hAnsi="Calibri"/>
          <w:b/>
          <w:color w:val="2E74B5"/>
          <w:sz w:val="32"/>
        </w:rPr>
        <w:t>6. Notifications and Permissions</w:t>
      </w:r>
    </w:p>
    <w:p>
      <w:pPr>
        <w:spacing w:after="120" w:line="264" w:lineRule="auto"/>
      </w:pPr>
      <w:r>
        <w:rPr>
          <w:rFonts w:ascii="Calibri" w:hAnsi="Calibri"/>
          <w:b w:val="0"/>
          <w:sz w:val="22"/>
        </w:rPr>
        <w:t>The application may request permissions such as camera, storage, location, microphone, contacts, or notifications. Permissions are requested only when needed for specific application features. Users can manage these permissions through their device or browser settings.</w:t>
      </w:r>
    </w:p>
    <w:p>
      <w:pPr>
        <w:pStyle w:val="Heading1"/>
        <w:spacing w:before="280" w:after="120"/>
      </w:pPr>
      <w:r>
        <w:rPr>
          <w:rFonts w:ascii="Calibri" w:hAnsi="Calibri"/>
          <w:b/>
          <w:color w:val="2E74B5"/>
          <w:sz w:val="32"/>
        </w:rPr>
        <w:t>7. Data Security</w:t>
      </w:r>
    </w:p>
    <w:p>
      <w:pPr>
        <w:spacing w:after="120" w:line="264" w:lineRule="auto"/>
      </w:pPr>
      <w:r>
        <w:rPr>
          <w:rFonts w:ascii="Calibri" w:hAnsi="Calibri"/>
          <w:b w:val="0"/>
          <w:sz w:val="22"/>
        </w:rPr>
        <w:t>We implement reasonable administrative, technical, and organizational measures to protect personal information against unauthorized access, data loss, misuse, disclosure, alteration, or deletion.</w:t>
      </w:r>
    </w:p>
    <w:p>
      <w:pPr>
        <w:spacing w:after="120" w:line="264" w:lineRule="auto"/>
      </w:pPr>
      <w:r>
        <w:rPr>
          <w:rFonts w:ascii="Calibri" w:hAnsi="Calibri"/>
          <w:b w:val="0"/>
          <w:sz w:val="22"/>
        </w:rPr>
        <w:t>While we try to protect your information, no electronic transmission or storage system can be guaranteed to be completely secure.</w:t>
      </w:r>
    </w:p>
    <w:p>
      <w:pPr>
        <w:pStyle w:val="Heading1"/>
        <w:spacing w:before="280" w:after="120"/>
      </w:pPr>
      <w:r>
        <w:rPr>
          <w:rFonts w:ascii="Calibri" w:hAnsi="Calibri"/>
          <w:b/>
          <w:color w:val="2E74B5"/>
          <w:sz w:val="32"/>
        </w:rPr>
        <w:t>8. Data Retention</w:t>
      </w:r>
    </w:p>
    <w:p>
      <w:pPr>
        <w:spacing w:after="120" w:line="264" w:lineRule="auto"/>
      </w:pPr>
      <w:r>
        <w:rPr>
          <w:rFonts w:ascii="Calibri" w:hAnsi="Calibri"/>
          <w:b w:val="0"/>
          <w:sz w:val="22"/>
        </w:rPr>
        <w:t>We retain personal information only for as long as necessary to provide services, fulfill contractual obligations, comply with legal requirements, resolve disputes, and enforce agreements. Information may be deleted or anonymized when it is no longer required.</w:t>
      </w:r>
    </w:p>
    <w:p>
      <w:pPr>
        <w:pStyle w:val="Heading1"/>
        <w:spacing w:before="280" w:after="120"/>
      </w:pPr>
      <w:r>
        <w:rPr>
          <w:rFonts w:ascii="Calibri" w:hAnsi="Calibri"/>
          <w:b/>
          <w:color w:val="2E74B5"/>
          <w:sz w:val="32"/>
        </w:rPr>
        <w:t>9. User Rights</w:t>
      </w:r>
    </w:p>
    <w:p>
      <w:pPr>
        <w:spacing w:after="120" w:line="264" w:lineRule="auto"/>
      </w:pPr>
      <w:r>
        <w:rPr>
          <w:rFonts w:ascii="Calibri" w:hAnsi="Calibri"/>
          <w:b w:val="0"/>
          <w:sz w:val="22"/>
        </w:rPr>
        <w:t>Depending on applicable laws, users may have the right to:</w:t>
      </w:r>
    </w:p>
    <w:p>
      <w:pPr>
        <w:pStyle w:val="ListBullet"/>
        <w:spacing w:after="80" w:line="264" w:lineRule="auto"/>
      </w:pPr>
      <w:r>
        <w:rPr>
          <w:rFonts w:ascii="Calibri" w:hAnsi="Calibri"/>
          <w:b w:val="0"/>
          <w:sz w:val="22"/>
        </w:rPr>
        <w:t>Access their personal information</w:t>
      </w:r>
    </w:p>
    <w:p>
      <w:pPr>
        <w:pStyle w:val="ListBullet"/>
        <w:spacing w:after="80" w:line="264" w:lineRule="auto"/>
      </w:pPr>
      <w:r>
        <w:rPr>
          <w:rFonts w:ascii="Calibri" w:hAnsi="Calibri"/>
          <w:b w:val="0"/>
          <w:sz w:val="22"/>
        </w:rPr>
        <w:t>Correct inaccurate information</w:t>
      </w:r>
    </w:p>
    <w:p>
      <w:pPr>
        <w:pStyle w:val="ListBullet"/>
        <w:spacing w:after="80" w:line="264" w:lineRule="auto"/>
      </w:pPr>
      <w:r>
        <w:rPr>
          <w:rFonts w:ascii="Calibri" w:hAnsi="Calibri"/>
          <w:b w:val="0"/>
          <w:sz w:val="22"/>
        </w:rPr>
        <w:t>Request deletion of personal information</w:t>
      </w:r>
    </w:p>
    <w:p>
      <w:pPr>
        <w:pStyle w:val="ListBullet"/>
        <w:spacing w:after="80" w:line="264" w:lineRule="auto"/>
      </w:pPr>
      <w:r>
        <w:rPr>
          <w:rFonts w:ascii="Calibri" w:hAnsi="Calibri"/>
          <w:b w:val="0"/>
          <w:sz w:val="22"/>
        </w:rPr>
        <w:t>Withdraw consent where applicable</w:t>
      </w:r>
    </w:p>
    <w:p>
      <w:pPr>
        <w:pStyle w:val="ListBullet"/>
        <w:spacing w:after="80" w:line="264" w:lineRule="auto"/>
      </w:pPr>
      <w:r>
        <w:rPr>
          <w:rFonts w:ascii="Calibri" w:hAnsi="Calibri"/>
          <w:b w:val="0"/>
          <w:sz w:val="22"/>
        </w:rPr>
        <w:t>Request data portability</w:t>
      </w:r>
    </w:p>
    <w:p>
      <w:pPr>
        <w:pStyle w:val="ListBullet"/>
        <w:spacing w:after="80" w:line="264" w:lineRule="auto"/>
      </w:pPr>
      <w:r>
        <w:rPr>
          <w:rFonts w:ascii="Calibri" w:hAnsi="Calibri"/>
          <w:b w:val="0"/>
          <w:sz w:val="22"/>
        </w:rPr>
        <w:t>Object to certain processing activities</w:t>
      </w:r>
    </w:p>
    <w:p>
      <w:pPr>
        <w:spacing w:after="120" w:line="264" w:lineRule="auto"/>
      </w:pPr>
      <w:r>
        <w:rPr>
          <w:rFonts w:ascii="Calibri" w:hAnsi="Calibri"/>
          <w:b w:val="0"/>
          <w:sz w:val="22"/>
        </w:rPr>
        <w:t>Requests can be submitted using the contact information listed below.</w:t>
      </w:r>
    </w:p>
    <w:p>
      <w:pPr>
        <w:pStyle w:val="Heading1"/>
        <w:spacing w:before="280" w:after="120"/>
      </w:pPr>
      <w:r>
        <w:rPr>
          <w:rFonts w:ascii="Calibri" w:hAnsi="Calibri"/>
          <w:b/>
          <w:color w:val="2E74B5"/>
          <w:sz w:val="32"/>
        </w:rPr>
        <w:t>10. Third-Party Services</w:t>
      </w:r>
    </w:p>
    <w:p>
      <w:pPr>
        <w:spacing w:after="120" w:line="264" w:lineRule="auto"/>
      </w:pPr>
      <w:r>
        <w:rPr>
          <w:rFonts w:ascii="Calibri" w:hAnsi="Calibri"/>
          <w:b w:val="0"/>
          <w:sz w:val="22"/>
        </w:rPr>
        <w:t>The application or website may use third-party services such as analytics services, cloud storage providers, payment gateways, and authentication providers. These services may collect information according to their own privacy policies.</w:t>
      </w:r>
    </w:p>
    <w:p>
      <w:pPr>
        <w:pStyle w:val="Heading1"/>
        <w:spacing w:before="280" w:after="120"/>
      </w:pPr>
      <w:r>
        <w:rPr>
          <w:rFonts w:ascii="Calibri" w:hAnsi="Calibri"/>
          <w:b/>
          <w:color w:val="2E74B5"/>
          <w:sz w:val="32"/>
        </w:rPr>
        <w:t>11. Third-Party Links</w:t>
      </w:r>
    </w:p>
    <w:p>
      <w:pPr>
        <w:spacing w:after="120" w:line="264" w:lineRule="auto"/>
      </w:pPr>
      <w:r>
        <w:rPr>
          <w:rFonts w:ascii="Calibri" w:hAnsi="Calibri"/>
          <w:b w:val="0"/>
          <w:sz w:val="22"/>
        </w:rPr>
        <w:t>The application or website may contain links to external websites or services. We are not responsible for the privacy practices, content, or policies of third-party websites. Users are encouraged to review the privacy policies of external services they visit.</w:t>
      </w:r>
    </w:p>
    <w:p>
      <w:pPr>
        <w:pStyle w:val="Heading1"/>
        <w:spacing w:before="280" w:after="120"/>
      </w:pPr>
      <w:r>
        <w:rPr>
          <w:rFonts w:ascii="Calibri" w:hAnsi="Calibri"/>
          <w:b/>
          <w:color w:val="2E74B5"/>
          <w:sz w:val="32"/>
        </w:rPr>
        <w:t>12. Cookie Policy</w:t>
      </w:r>
    </w:p>
    <w:p>
      <w:pPr>
        <w:spacing w:after="120" w:line="264" w:lineRule="auto"/>
      </w:pPr>
      <w:r>
        <w:rPr>
          <w:rFonts w:ascii="Calibri" w:hAnsi="Calibri"/>
          <w:b w:val="0"/>
          <w:sz w:val="22"/>
        </w:rPr>
        <w:t>Our website may use cookies, which are small files stored on your device, to improve user experience, support login sessions, remember site preferences, support forms, and understand basic usage patterns.</w:t>
      </w:r>
    </w:p>
    <w:p>
      <w:pPr>
        <w:spacing w:after="120" w:line="264" w:lineRule="auto"/>
      </w:pPr>
      <w:r>
        <w:rPr>
          <w:rFonts w:ascii="Calibri" w:hAnsi="Calibri"/>
          <w:b w:val="0"/>
          <w:sz w:val="22"/>
        </w:rPr>
        <w:t>We may use account-related cookies, login-related cookies, form-related cookies, site preference cookies, and third-party analytics cookies such as Google Analytics. These cookies help us understand how users interact with the website and improve the platform.</w:t>
      </w:r>
    </w:p>
    <w:p>
      <w:pPr>
        <w:spacing w:after="120" w:line="264" w:lineRule="auto"/>
      </w:pPr>
      <w:r>
        <w:rPr>
          <w:rFonts w:ascii="Calibri" w:hAnsi="Calibri"/>
          <w:b w:val="0"/>
          <w:sz w:val="22"/>
        </w:rPr>
        <w:t>You can disable cookies through your browser settings. Disabling cookies may affect some website or application features.</w:t>
      </w:r>
    </w:p>
    <w:p>
      <w:pPr>
        <w:pStyle w:val="Heading1"/>
        <w:spacing w:before="280" w:after="120"/>
      </w:pPr>
      <w:r>
        <w:rPr>
          <w:rFonts w:ascii="Calibri" w:hAnsi="Calibri"/>
          <w:b/>
          <w:color w:val="2E74B5"/>
          <w:sz w:val="32"/>
        </w:rPr>
        <w:t>13. Changes to This Privacy Policy</w:t>
      </w:r>
    </w:p>
    <w:p>
      <w:pPr>
        <w:spacing w:after="120" w:line="264" w:lineRule="auto"/>
      </w:pPr>
      <w:r>
        <w:rPr>
          <w:rFonts w:ascii="Calibri" w:hAnsi="Calibri"/>
          <w:b w:val="0"/>
          <w:sz w:val="22"/>
        </w:rPr>
        <w:t>We may update this Privacy Policy from time to time. Any changes will be posted within the application or on the official website with an updated effective date. Continued use of the application after updates means you accept the revised Privacy Policy.</w:t>
      </w:r>
    </w:p>
    <w:p>
      <w:pPr>
        <w:pStyle w:val="Heading1"/>
        <w:spacing w:before="280" w:after="120"/>
      </w:pPr>
      <w:r>
        <w:rPr>
          <w:rFonts w:ascii="Calibri" w:hAnsi="Calibri"/>
          <w:b/>
          <w:color w:val="2E74B5"/>
          <w:sz w:val="32"/>
        </w:rPr>
        <w:t>14. Contact Us</w:t>
      </w:r>
    </w:p>
    <w:p>
      <w:pPr>
        <w:spacing w:after="120" w:line="264" w:lineRule="auto"/>
      </w:pPr>
      <w:r>
        <w:rPr>
          <w:rFonts w:ascii="Calibri" w:hAnsi="Calibri"/>
          <w:b w:val="0"/>
          <w:sz w:val="22"/>
        </w:rPr>
        <w:t>If you have any questions, concerns, or requests regarding this Privacy Policy, please contact us:</w:t>
      </w:r>
    </w:p>
    <w:p>
      <w:pPr>
        <w:pStyle w:val="ListBullet"/>
        <w:spacing w:after="80" w:line="264" w:lineRule="auto"/>
      </w:pPr>
      <w:r>
        <w:rPr>
          <w:rFonts w:ascii="Calibri" w:hAnsi="Calibri"/>
          <w:b w:val="0"/>
          <w:sz w:val="22"/>
        </w:rPr>
        <w:t>Company Name: Tokala Technologies</w:t>
      </w:r>
    </w:p>
    <w:p>
      <w:pPr>
        <w:pStyle w:val="ListBullet"/>
        <w:spacing w:after="80" w:line="264" w:lineRule="auto"/>
      </w:pPr>
      <w:r>
        <w:rPr>
          <w:rFonts w:ascii="Calibri" w:hAnsi="Calibri"/>
          <w:b w:val="0"/>
          <w:sz w:val="22"/>
        </w:rPr>
        <w:t>Website: https://tokalatechnologies.netlify.app/</w:t>
      </w:r>
    </w:p>
    <w:p>
      <w:pPr>
        <w:pStyle w:val="ListBullet"/>
        <w:spacing w:after="80" w:line="264" w:lineRule="auto"/>
      </w:pPr>
      <w:r>
        <w:rPr>
          <w:rFonts w:ascii="Calibri" w:hAnsi="Calibri"/>
          <w:b w:val="0"/>
          <w:sz w:val="22"/>
        </w:rPr>
        <w:t>Email: Add your email address here</w:t>
      </w:r>
    </w:p>
    <w:p>
      <w:pPr>
        <w:pStyle w:val="ListBullet"/>
        <w:spacing w:after="80" w:line="264" w:lineRule="auto"/>
      </w:pPr>
      <w:r>
        <w:rPr>
          <w:rFonts w:ascii="Calibri" w:hAnsi="Calibri"/>
          <w:b w:val="0"/>
          <w:sz w:val="22"/>
        </w:rPr>
        <w:t>Phone: Add your phone number here</w:t>
      </w:r>
    </w:p>
    <w:p>
      <w:pPr>
        <w:pStyle w:val="ListBullet"/>
        <w:spacing w:after="80" w:line="264" w:lineRule="auto"/>
      </w:pPr>
      <w:r>
        <w:rPr>
          <w:rFonts w:ascii="Calibri" w:hAnsi="Calibri"/>
          <w:b w:val="0"/>
          <w:sz w:val="22"/>
        </w:rPr>
        <w:t>Address: Add your company address here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777777"/>
        <w:sz w:val="18"/>
      </w:rPr>
      <w:t>HOD Panel - Privacy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