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a9c8146e304b40c4ab49d369d47ecbd4449703"/>
    <w:p>
      <w:pPr>
        <w:pStyle w:val="Heading1"/>
      </w:pPr>
      <w:r>
        <w:t xml:space="preserve">FINSOVE TECHNOLOGIES - ANNUAL FINANCIAL SUMMARY 2024</w:t>
      </w:r>
    </w:p>
    <w:p>
      <w:pPr>
        <w:pStyle w:val="FirstParagraph"/>
      </w:pPr>
      <w:r>
        <w:rPr>
          <w:bCs/>
          <w:b/>
        </w:rPr>
        <w:t xml:space="preserve">CONFIDENTIAL — FOR INTERNAL USE ONLY</w:t>
      </w:r>
    </w:p>
    <w:p>
      <w:pPr>
        <w:pStyle w:val="BodyText"/>
      </w:pPr>
      <w:r>
        <w:rPr>
          <w:bCs/>
          <w:b/>
        </w:rPr>
        <w:t xml:space="preserve">Document ID:</w:t>
      </w:r>
      <w:r>
        <w:t xml:space="preserve"> </w:t>
      </w:r>
      <w:r>
        <w:t xml:space="preserve">FIN-ANN-2024-001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15, 2025</w:t>
      </w:r>
      <w:r>
        <w:t xml:space="preserve"> </w:t>
      </w:r>
      <w:r>
        <w:rPr>
          <w:bCs/>
          <w:b/>
        </w:rPr>
        <w:t xml:space="preserve">Reporting Period:</w:t>
      </w:r>
      <w:r>
        <w:t xml:space="preserve"> </w:t>
      </w:r>
      <w:r>
        <w:t xml:space="preserve">January 1 – December 31, 2024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Rajesh Mehta, Chief Financial Officer</w:t>
      </w:r>
      <w:r>
        <w:t xml:space="preserve"> </w:t>
      </w:r>
      <w:r>
        <w:rPr>
          <w:bCs/>
          <w:b/>
        </w:rPr>
        <w:t xml:space="preserve">Approved by:</w:t>
      </w:r>
      <w:r>
        <w:t xml:space="preserve"> </w:t>
      </w:r>
      <w:r>
        <w:t xml:space="preserve">Priya Sharma, CEO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Board of Directors, Investor Relations, Finance Leadership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FinSolve Technologies delivered exceptional financial performance in 2024, marked by robust revenue growth, improved operational margins, and disciplined cost management. The company achieved total revenue of ₹783 Crore (~$94M USD equivalent at average FY2024 exchange rate), representing 28% year-over-year growth. Net income reached ₹96 Crore, reflecting strong operational leverage and improved efficiency across all business segments.</w:t>
      </w:r>
    </w:p>
    <w:p>
      <w:pPr>
        <w:pStyle w:val="BodyText"/>
      </w:pPr>
      <w:r>
        <w:t xml:space="preserve">Key highlights: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Revenue</w:t>
      </w:r>
      <w:r>
        <w:t xml:space="preserve">: ₹783 Crore (28% YoY growth)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Gross Profit</w:t>
      </w:r>
      <w:r>
        <w:t xml:space="preserve">: ₹502 Crore (64% gross margin, up from 58% in Q1)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Income</w:t>
      </w:r>
      <w:r>
        <w:t xml:space="preserve">: ₹96 Crore (12.3% net margin)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Operating Cash Flow</w:t>
      </w:r>
      <w:r>
        <w:t xml:space="preserve">: ₹187 Crore (23.9% of revenue)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Headcount</w:t>
      </w:r>
      <w:r>
        <w:t xml:space="preserve">: 485 employees (14% growth)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Employee Productivity</w:t>
      </w:r>
      <w:r>
        <w:t xml:space="preserve">: ₹1.61 Crore per employee</w:t>
      </w:r>
    </w:p>
    <w:p>
      <w:r>
        <w:pict>
          <v:rect style="width:0;height:1.5pt" o:hralign="center" o:hrstd="t" o:hr="t"/>
        </w:pict>
      </w:r>
    </w:p>
    <w:bookmarkEnd w:id="20"/>
    <w:bookmarkStart w:id="22" w:name="financial-performance-analysis"/>
    <w:p>
      <w:pPr>
        <w:pStyle w:val="Heading2"/>
      </w:pPr>
      <w:r>
        <w:t xml:space="preserve">FINANCIAL PERFORMANCE ANALYSIS</w:t>
      </w:r>
    </w:p>
    <w:bookmarkStart w:id="21" w:name="revenue-growth-yoy-comparison"/>
    <w:p>
      <w:pPr>
        <w:pStyle w:val="Heading3"/>
      </w:pPr>
      <w:r>
        <w:t xml:space="preserve">Revenue Growth &amp; YoY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8"/>
        <w:gridCol w:w="1951"/>
        <w:gridCol w:w="1951"/>
        <w:gridCol w:w="1147"/>
        <w:gridCol w:w="19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(USD 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The 28% revenue growth was driven by:</w:t>
      </w:r>
      <w:r>
        <w:t xml:space="preserve"> </w:t>
      </w:r>
      <w:r>
        <w:t xml:space="preserve">- Market expansion into Southeast Asia (18% of new revenue)</w:t>
      </w:r>
      <w:r>
        <w:t xml:space="preserve"> </w:t>
      </w:r>
      <w:r>
        <w:t xml:space="preserve">- Enhanced product penetration in existing markets (12% of new revenue)</w:t>
      </w:r>
      <w:r>
        <w:t xml:space="preserve"> </w:t>
      </w:r>
      <w:r>
        <w:t xml:space="preserve">- Strategic partnership agreements (5% of new revenue)</w:t>
      </w:r>
      <w:r>
        <w:t xml:space="preserve"> </w:t>
      </w:r>
      <w:r>
        <w:t xml:space="preserve">- Price optimization initiatives (3% of new revenue, with customer retention intact)</w:t>
      </w:r>
    </w:p>
    <w:p>
      <w:pPr>
        <w:pStyle w:val="BodyText"/>
      </w:pPr>
      <w:r>
        <w:t xml:space="preserve">Gross margin expanded significantly from 58% to 64%, indicating operational efficiency improvements and better procurement management, particularly in technology infrastructure costs.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d5532c7270946da5edd861dab426a283973dd13"/>
    <w:p>
      <w:pPr>
        <w:pStyle w:val="Heading2"/>
      </w:pPr>
      <w:r>
        <w:t xml:space="preserve">EXPENSE BREAKDOWN &amp; DEPARTMENTAL ALLOCATION</w:t>
      </w:r>
    </w:p>
    <w:bookmarkStart w:id="23" w:name="annual-expense-structure"/>
    <w:p>
      <w:pPr>
        <w:pStyle w:val="Heading3"/>
      </w:pPr>
      <w:r>
        <w:t xml:space="preserve">Annual Expense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8"/>
        <w:gridCol w:w="1748"/>
        <w:gridCol w:w="1337"/>
        <w:gridCol w:w="1748"/>
        <w:gridCol w:w="1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Change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 Salaries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Services &amp; Contractor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Administrative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Travel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+22.1%</w:t>
            </w:r>
          </w:p>
        </w:tc>
      </w:tr>
    </w:tbl>
    <w:bookmarkEnd w:id="23"/>
    <w:bookmarkStart w:id="24" w:name="department-wise-budget-vs.-actual"/>
    <w:p>
      <w:pPr>
        <w:pStyle w:val="Heading3"/>
      </w:pPr>
      <w:r>
        <w:t xml:space="preserve">Department-Wise Budget vs. Actual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27"/>
        <w:gridCol w:w="1450"/>
        <w:gridCol w:w="1338"/>
        <w:gridCol w:w="1784"/>
        <w:gridCol w:w="1227"/>
        <w:gridCol w:w="8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&amp;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Overspend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cash-flow-summary"/>
    <w:p>
      <w:pPr>
        <w:pStyle w:val="Heading2"/>
      </w:pPr>
      <w:r>
        <w:t xml:space="preserve">CASH FLOW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80"/>
        <w:gridCol w:w="2040"/>
        <w:gridCol w:w="2040"/>
        <w:gridCol w:w="1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Cash Flow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Change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Adjustments to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&amp; Equivalents (YE)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Cash Management Insights:</w:t>
      </w:r>
      <w:r>
        <w:t xml:space="preserve"> </w:t>
      </w:r>
      <w:r>
        <w:t xml:space="preserve">- Strong operating cash flow generation (23.9% of revenue) demonstrates underlying business health</w:t>
      </w:r>
      <w:r>
        <w:t xml:space="preserve"> </w:t>
      </w:r>
      <w:r>
        <w:t xml:space="preserve">- Increased R&amp;D investment (₹20 Crore) signals commitment to product innovation and market expansion</w:t>
      </w:r>
      <w:r>
        <w:t xml:space="preserve"> </w:t>
      </w:r>
      <w:r>
        <w:t xml:space="preserve">- Conservative dividend policy maintained cash reserves for growth opportunities</w:t>
      </w:r>
      <w:r>
        <w:t xml:space="preserve"> </w:t>
      </w:r>
      <w:r>
        <w:t xml:space="preserve">- Days Cash on Hand: 142 days (adequate liquidity buffer)</w:t>
      </w:r>
    </w:p>
    <w:p>
      <w:r>
        <w:pict>
          <v:rect style="width:0;height:1.5pt" o:hralign="center" o:hrstd="t" o:hr="t"/>
        </w:pict>
      </w:r>
    </w:p>
    <w:bookmarkEnd w:id="26"/>
    <w:bookmarkStart w:id="27" w:name="key-financial-ratios-industry-benchmarks"/>
    <w:p>
      <w:pPr>
        <w:pStyle w:val="Heading2"/>
      </w:pPr>
      <w:r>
        <w:t xml:space="preserve">KEY FINANCIAL RATIOS &amp; INDUSTRY BENCHMARKS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6"/>
        <w:gridCol w:w="1195"/>
        <w:gridCol w:w="1195"/>
        <w:gridCol w:w="2839"/>
        <w:gridCol w:w="1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Profitability Ratios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Profit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on Assets (ROA)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on Equity (ROE)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Benchmark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Efficiency Ratios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Sales Outstanding (DSO)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Improved, Near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Payable Outstanding (DPO)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Conversion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Leverage Ratios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Debt-to-Equity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Liquidity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 Analysis:</w:t>
      </w:r>
      <w:r>
        <w:t xml:space="preserve"> </w:t>
      </w:r>
      <w:r>
        <w:t xml:space="preserve">FinSolve demonstrates financial strength with above-benchmark profitability and efficiency ratios. Conservative leverage and strong liquidity position the company well for growth investments and market downturns.</w:t>
      </w:r>
    </w:p>
    <w:p>
      <w:r>
        <w:pict>
          <v:rect style="width:0;height:1.5pt" o:hralign="center" o:hrstd="t" o:hr="t"/>
        </w:pict>
      </w:r>
    </w:p>
    <w:bookmarkEnd w:id="27"/>
    <w:bookmarkStart w:id="34" w:name="risk-analysis-mitigation-strategies"/>
    <w:p>
      <w:pPr>
        <w:pStyle w:val="Heading2"/>
      </w:pPr>
      <w:r>
        <w:t xml:space="preserve">RISK ANALYSIS &amp; MITIGATION STRATEGIES</w:t>
      </w:r>
    </w:p>
    <w:bookmarkStart w:id="33" w:name="critical-risks"/>
    <w:p>
      <w:pPr>
        <w:pStyle w:val="Heading3"/>
      </w:pPr>
      <w:r>
        <w:t xml:space="preserve">Critical Risks</w:t>
      </w:r>
    </w:p>
    <w:bookmarkStart w:id="28" w:name="X5e9e16a0df58bea854f1ac02139aa11f59c809f"/>
    <w:p>
      <w:pPr>
        <w:pStyle w:val="Heading4"/>
      </w:pPr>
      <w:r>
        <w:t xml:space="preserve">1. Vendor Cost Inflation Risk (Medium-High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Vendor and contractor costs increased 71.4% YoY (₹14 Crore to ₹24 Crore), driven by:</w:t>
      </w:r>
      <w:r>
        <w:t xml:space="preserve"> </w:t>
      </w:r>
      <w:r>
        <w:t xml:space="preserve">- Regional talent acquisition for market expansion</w:t>
      </w:r>
      <w:r>
        <w:t xml:space="preserve"> </w:t>
      </w:r>
      <w:r>
        <w:t xml:space="preserve">- Specialized cloud infrastructure services</w:t>
      </w:r>
      <w:r>
        <w:t xml:space="preserve"> </w:t>
      </w:r>
      <w:r>
        <w:t xml:space="preserve">- Compliance and audit contractor services</w:t>
      </w:r>
    </w:p>
    <w:p>
      <w:pPr>
        <w:pStyle w:val="BodyText"/>
      </w:pPr>
      <w:r>
        <w:rPr>
          <w:bCs/>
          <w:b/>
        </w:rPr>
        <w:t xml:space="preserve">Mitigation Actions Implemented:</w:t>
      </w:r>
      <w:r>
        <w:t xml:space="preserve"> </w:t>
      </w:r>
      <w:r>
        <w:t xml:space="preserve">- Multi-year contracts locked in for Q1-Q4 2025 (₹23.2 Crore committed)</w:t>
      </w:r>
      <w:r>
        <w:t xml:space="preserve"> </w:t>
      </w:r>
      <w:r>
        <w:t xml:space="preserve">- Vendor consolidation: reduced active vendors from 47 to 32</w:t>
      </w:r>
      <w:r>
        <w:t xml:space="preserve"> </w:t>
      </w:r>
      <w:r>
        <w:t xml:space="preserve">- Competitive bidding process for all contracts above ₹50 Lakh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Savings:</w:t>
      </w:r>
      <w:r>
        <w:t xml:space="preserve"> </w:t>
      </w:r>
      <w:r>
        <w:t xml:space="preserve">₹2-3 Crore in FY2025</w:t>
      </w:r>
    </w:p>
    <w:p>
      <w:r>
        <w:pict>
          <v:rect style="width:0;height:1.5pt" o:hralign="center" o:hrstd="t" o:hr="t"/>
        </w:pict>
      </w:r>
    </w:p>
    <w:bookmarkEnd w:id="28"/>
    <w:bookmarkStart w:id="29" w:name="foreign-exchange-fx-risk-medium-impact"/>
    <w:p>
      <w:pPr>
        <w:pStyle w:val="Heading4"/>
      </w:pPr>
      <w:r>
        <w:t xml:space="preserve">2. Foreign Exchange (FX) Risk (Medium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~45% of revenue from international operations (₹352 Crore). Rupee depreciation increases cost of USD-denominated expenses.</w:t>
      </w:r>
    </w:p>
    <w:p>
      <w:pPr>
        <w:pStyle w:val="BodyText"/>
      </w:pPr>
      <w:r>
        <w:rPr>
          <w:bCs/>
          <w:b/>
        </w:rPr>
        <w:t xml:space="preserve">Current Exposure:</w:t>
      </w:r>
      <w:r>
        <w:t xml:space="preserve"> </w:t>
      </w:r>
      <w:r>
        <w:t xml:space="preserve">- USD payables: ~₹85 Crore</w:t>
      </w:r>
      <w:r>
        <w:t xml:space="preserve"> </w:t>
      </w:r>
      <w:r>
        <w:t xml:space="preserve">- EUR payables: ~₹28 Crore</w:t>
      </w:r>
      <w:r>
        <w:t xml:space="preserve"> </w:t>
      </w:r>
      <w:r>
        <w:t xml:space="preserve">- SGD payables: ~₹12 Crore</w:t>
      </w:r>
    </w:p>
    <w:p>
      <w:pPr>
        <w:pStyle w:val="BodyText"/>
      </w:pPr>
      <w:r>
        <w:rPr>
          <w:bCs/>
          <w:b/>
        </w:rPr>
        <w:t xml:space="preserve">Mitigation Actions:</w:t>
      </w:r>
      <w:r>
        <w:t xml:space="preserve"> </w:t>
      </w:r>
      <w:r>
        <w:t xml:space="preserve">- Natural hedging: 38% of expenses in USD markets</w:t>
      </w:r>
      <w:r>
        <w:t xml:space="preserve"> </w:t>
      </w:r>
      <w:r>
        <w:t xml:space="preserve">- Forward contracts for Q1 2025 FX needs (₹45 Crore covered at ₹83.5/USD)</w:t>
      </w:r>
      <w:r>
        <w:t xml:space="preserve"> </w:t>
      </w:r>
      <w:r>
        <w:t xml:space="preserve">- Pricing adjustment mechanisms in international contracts (15 of 22 contracts include FX clauses)</w:t>
      </w:r>
    </w:p>
    <w:p>
      <w:r>
        <w:pict>
          <v:rect style="width:0;height:1.5pt" o:hralign="center" o:hrstd="t" o:hr="t"/>
        </w:pict>
      </w:r>
    </w:p>
    <w:bookmarkEnd w:id="29"/>
    <w:bookmarkStart w:id="30" w:name="cash-flow-timing-risk-medium-impact"/>
    <w:p>
      <w:pPr>
        <w:pStyle w:val="Heading4"/>
      </w:pPr>
      <w:r>
        <w:t xml:space="preserve">3. Cash Flow Timing Risk (Medium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DSO of 38 days creates working capital pressure. Large customers (top 5 = 35% of revenue) have 45-60 day payment terms.</w:t>
      </w:r>
    </w:p>
    <w:p>
      <w:pPr>
        <w:pStyle w:val="BodyText"/>
      </w:pPr>
      <w:r>
        <w:rPr>
          <w:bCs/>
          <w:b/>
        </w:rPr>
        <w:t xml:space="preserve">Mitigation Actions:</w:t>
      </w:r>
      <w:r>
        <w:t xml:space="preserve"> </w:t>
      </w:r>
      <w:r>
        <w:t xml:space="preserve">- Early payment discount program: 2% discount for payment within 15 days (adopted by 12 of 45 major customers)</w:t>
      </w:r>
      <w:r>
        <w:t xml:space="preserve"> </w:t>
      </w:r>
      <w:r>
        <w:t xml:space="preserve">- Supply chain financing partnership with HDFC Bank for vendor payables</w:t>
      </w:r>
      <w:r>
        <w:t xml:space="preserve"> </w:t>
      </w:r>
      <w:r>
        <w:t xml:space="preserve">- Improved invoicing and collection: 5 dedicated collection officers hired</w:t>
      </w:r>
    </w:p>
    <w:p>
      <w:r>
        <w:pict>
          <v:rect style="width:0;height:1.5pt" o:hralign="center" o:hrstd="t" o:hr="t"/>
        </w:pict>
      </w:r>
    </w:p>
    <w:bookmarkEnd w:id="30"/>
    <w:bookmarkStart w:id="31" w:name="regulatory-compliance-risk-medium-impact"/>
    <w:p>
      <w:pPr>
        <w:pStyle w:val="Heading4"/>
      </w:pPr>
      <w:r>
        <w:t xml:space="preserve">4. Regulatory &amp; Compliance Risk (Medium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Operating in 8 countries with varying financial reporting standards, data privacy laws (GDPR, India Data Protection Act), and RBI guidelines.</w:t>
      </w:r>
    </w:p>
    <w:p>
      <w:pPr>
        <w:pStyle w:val="BodyText"/>
      </w:pPr>
      <w:r>
        <w:rPr>
          <w:bCs/>
          <w:b/>
        </w:rPr>
        <w:t xml:space="preserve">Mitigation Actions:</w:t>
      </w:r>
      <w:r>
        <w:t xml:space="preserve"> </w:t>
      </w:r>
      <w:r>
        <w:t xml:space="preserve">- Compliance officer hired (₹1.2 Crore annual cost)</w:t>
      </w:r>
      <w:r>
        <w:t xml:space="preserve"> </w:t>
      </w:r>
      <w:r>
        <w:t xml:space="preserve">- Audit fees increased to ₹85 Lakh for expanded compliance review</w:t>
      </w:r>
      <w:r>
        <w:t xml:space="preserve"> </w:t>
      </w:r>
      <w:r>
        <w:t xml:space="preserve">- Legal contingency reserve: ₹5 Crore (1% of litigation provisions)</w:t>
      </w:r>
      <w:r>
        <w:t xml:space="preserve"> </w:t>
      </w:r>
      <w:r>
        <w:t xml:space="preserve">- Quarterly compliance audits across all operating geographies</w:t>
      </w:r>
    </w:p>
    <w:p>
      <w:r>
        <w:pict>
          <v:rect style="width:0;height:1.5pt" o:hralign="center" o:hrstd="t" o:hr="t"/>
        </w:pict>
      </w:r>
    </w:p>
    <w:bookmarkEnd w:id="31"/>
    <w:bookmarkStart w:id="32" w:name="X8b138814d93daff03da711418f260033063ad4e"/>
    <w:p>
      <w:pPr>
        <w:pStyle w:val="Heading4"/>
      </w:pPr>
      <w:r>
        <w:t xml:space="preserve">5. Technology Infrastructure Risk (Low-Medium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Heavy reliance on cloud infrastructure (AWS, Azure: ₹45 Crore annual cost = 5.7% of revenue). Potential cost escalation or service disruptions.</w:t>
      </w:r>
    </w:p>
    <w:p>
      <w:pPr>
        <w:pStyle w:val="BodyText"/>
      </w:pPr>
      <w:r>
        <w:rPr>
          <w:bCs/>
          <w:b/>
        </w:rPr>
        <w:t xml:space="preserve">Mitigation Actions:</w:t>
      </w:r>
      <w:r>
        <w:t xml:space="preserve"> </w:t>
      </w:r>
      <w:r>
        <w:t xml:space="preserve">- Multi-cloud strategy: 60% AWS, 40% Azure (reduced single-vendor dependency)</w:t>
      </w:r>
      <w:r>
        <w:t xml:space="preserve"> </w:t>
      </w:r>
      <w:r>
        <w:t xml:space="preserve">- Reserved instances purchased for 70% of baseline load (₹8 Crore savings annually)</w:t>
      </w:r>
      <w:r>
        <w:t xml:space="preserve"> </w:t>
      </w:r>
      <w:r>
        <w:t xml:space="preserve">- Disaster recovery plan with RTO of 4 hours, RPO of 1 hour</w:t>
      </w:r>
      <w:r>
        <w:t xml:space="preserve"> </w:t>
      </w:r>
      <w:r>
        <w:t xml:space="preserve">- 99.95% uptime SLA with vendor penalties: ₹0.5 Crore annually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financial-projections-outlook"/>
    <w:p>
      <w:pPr>
        <w:pStyle w:val="Heading2"/>
      </w:pPr>
      <w:r>
        <w:t xml:space="preserve">FINANCIAL PROJECTIONS &amp; OUTLOOK</w:t>
      </w:r>
    </w:p>
    <w:bookmarkStart w:id="35" w:name="fy2025-guidance"/>
    <w:p>
      <w:pPr>
        <w:pStyle w:val="Heading3"/>
      </w:pPr>
      <w:r>
        <w:t xml:space="preserve">FY2025 Guidance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FY2025E (₹ Crore)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Assumptions:</w:t>
      </w:r>
      <w:r>
        <w:t xml:space="preserve"> </w:t>
      </w:r>
      <w:r>
        <w:t xml:space="preserve">- Continued 20% domestic market growth</w:t>
      </w:r>
      <w:r>
        <w:t xml:space="preserve"> </w:t>
      </w:r>
      <w:r>
        <w:t xml:space="preserve">- 25% international market growth (Southeast Asia expansion)</w:t>
      </w:r>
      <w:r>
        <w:t xml:space="preserve"> </w:t>
      </w:r>
      <w:r>
        <w:t xml:space="preserve">- Gross margin stabilization at 63% (slight compression from peak due to market competition)</w:t>
      </w:r>
      <w:r>
        <w:t xml:space="preserve"> </w:t>
      </w:r>
      <w:r>
        <w:t xml:space="preserve">- OpEx/Revenue ratio: 43% (improved from 46.5% through scale benefits)</w:t>
      </w:r>
      <w:r>
        <w:t xml:space="preserve"> </w:t>
      </w:r>
      <w:r>
        <w:t xml:space="preserve">- Tax rate: 25% (current statutory rate)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eadcount-productivity-metrics"/>
    <w:p>
      <w:pPr>
        <w:pStyle w:val="Heading2"/>
      </w:pPr>
      <w:r>
        <w:t xml:space="preserve">HEADCOUNT &amp; PRODUCTIVITY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&amp;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&amp;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per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₹1.61 Crore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₹1.44 Crore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Income per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₹19.8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₹19.3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Salary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₹38.1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₹36.5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 Benefits per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₹8.3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₹7.5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Talent Strategy:</w:t>
      </w:r>
      <w:r>
        <w:t xml:space="preserve"> </w:t>
      </w:r>
      <w:r>
        <w:t xml:space="preserve">Selective hiring focused on high-impact roles (Engineering +17%, Sales +22%) while maintaining Finance &amp; Admin headcount flat through process automation (RPA implementation in Accounts Payable saving 2 FTE).</w:t>
      </w:r>
    </w:p>
    <w:p>
      <w:r>
        <w:pict>
          <v:rect style="width:0;height:1.5pt" o:hralign="center" o:hrstd="t" o:hr="t"/>
        </w:pict>
      </w:r>
    </w:p>
    <w:bookmarkEnd w:id="37"/>
    <w:bookmarkStart w:id="38" w:name="management-commentary"/>
    <w:p>
      <w:pPr>
        <w:pStyle w:val="Heading2"/>
      </w:pPr>
      <w:r>
        <w:t xml:space="preserve">MANAGEMENT COMMENTARY</w:t>
      </w:r>
    </w:p>
    <w:p>
      <w:pPr>
        <w:pStyle w:val="FirstParagraph"/>
      </w:pPr>
      <w:r>
        <w:t xml:space="preserve">FinSolve Technologies executed a balanced growth strategy in 2024, achieving significant revenue expansion while improving profitability and strengthening our financial foundation. The 28% revenue growth was broad-based, with contributions from organic growth, geographic expansion, and strategic partnerships.</w:t>
      </w:r>
    </w:p>
    <w:p>
      <w:pPr>
        <w:pStyle w:val="BodyText"/>
      </w:pPr>
      <w:r>
        <w:t xml:space="preserve">Our improved gross margin to 64% reflects:</w:t>
      </w:r>
      <w:r>
        <w:t xml:space="preserve"> </w:t>
      </w:r>
      <w:r>
        <w:t xml:space="preserve">1. Better negotiation with cloud infrastructure providers</w:t>
      </w:r>
      <w:r>
        <w:t xml:space="preserve"> </w:t>
      </w:r>
      <w:r>
        <w:t xml:space="preserve">2. Higher-margin product mix (Enterprise offerings now 38% of revenue, up from 32%)</w:t>
      </w:r>
      <w:r>
        <w:t xml:space="preserve"> </w:t>
      </w:r>
      <w:r>
        <w:t xml:space="preserve">3. Operational leverage from process automation initiatives</w:t>
      </w:r>
    </w:p>
    <w:p>
      <w:pPr>
        <w:pStyle w:val="BodyText"/>
      </w:pPr>
      <w:r>
        <w:t xml:space="preserve">The 71% increase in vendor costs, while seemingly high, reflects strategic investments in regional market entry and should not concern stakeholders. These costs are project-based and were planned as part of our Southeast Asia expansion strategy. Going forward, we expect vendor costs to normalize at ₹22-24 Crore annually (2.8-3.0% of revenue).</w:t>
      </w:r>
    </w:p>
    <w:p>
      <w:pPr>
        <w:pStyle w:val="BodyText"/>
      </w:pPr>
      <w:r>
        <w:t xml:space="preserve">Key priorities for FY2025: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Scale Operations:</w:t>
      </w:r>
      <w:r>
        <w:t xml:space="preserve"> </w:t>
      </w:r>
      <w:r>
        <w:t xml:space="preserve">Target 25% revenue growth through geographic diversification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Margin Expansion:</w:t>
      </w:r>
      <w:r>
        <w:t xml:space="preserve"> </w:t>
      </w:r>
      <w:r>
        <w:t xml:space="preserve">Leverage operational scale to improve net margin from 12.3% to 13.5%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Talent Retention:</w:t>
      </w:r>
      <w:r>
        <w:t xml:space="preserve"> </w:t>
      </w:r>
      <w:r>
        <w:t xml:space="preserve">Implement competitive compensation and career development programs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Technology Innovation:</w:t>
      </w:r>
      <w:r>
        <w:t xml:space="preserve"> </w:t>
      </w:r>
      <w:r>
        <w:t xml:space="preserve">Invest ₹25 Crore in R&amp;D for next-generation product platform</w:t>
      </w:r>
    </w:p>
    <w:p>
      <w:r>
        <w:pict>
          <v:rect style="width:0;height:1.5pt" o:hralign="center" o:hrstd="t" o:hr="t"/>
        </w:pict>
      </w:r>
    </w:p>
    <w:bookmarkEnd w:id="38"/>
    <w:bookmarkStart w:id="43" w:name="appendices"/>
    <w:p>
      <w:pPr>
        <w:pStyle w:val="Heading2"/>
      </w:pPr>
      <w:r>
        <w:t xml:space="preserve">APPENDICES</w:t>
      </w:r>
    </w:p>
    <w:bookmarkStart w:id="39" w:name="a.-departmental-expense-details"/>
    <w:p>
      <w:pPr>
        <w:pStyle w:val="Heading3"/>
      </w:pPr>
      <w:r>
        <w:t xml:space="preserve">A. Departmental Expense Details</w:t>
      </w:r>
    </w:p>
    <w:p>
      <w:pPr>
        <w:pStyle w:val="FirstParagraph"/>
      </w:pPr>
      <w:r>
        <w:t xml:space="preserve">Detailed breakdowns for each department are available in</w:t>
      </w:r>
      <w:r>
        <w:t xml:space="preserve"> </w:t>
      </w:r>
      <w:r>
        <w:rPr>
          <w:rStyle w:val="VerbatimChar"/>
        </w:rPr>
        <w:t xml:space="preserve">/data/finance/department_budget_2024.md</w:t>
      </w:r>
    </w:p>
    <w:bookmarkEnd w:id="39"/>
    <w:bookmarkStart w:id="40" w:name="b.-quarterly-performance-trends"/>
    <w:p>
      <w:pPr>
        <w:pStyle w:val="Heading3"/>
      </w:pPr>
      <w:r>
        <w:t xml:space="preserve">B. Quarterly Performance Trends</w:t>
      </w:r>
    </w:p>
    <w:p>
      <w:pPr>
        <w:pStyle w:val="FirstParagraph"/>
      </w:pPr>
      <w:r>
        <w:t xml:space="preserve">Complete quarterly financial statements and trends:</w:t>
      </w:r>
      <w:r>
        <w:t xml:space="preserve"> </w:t>
      </w:r>
      <w:r>
        <w:rPr>
          <w:rStyle w:val="VerbatimChar"/>
        </w:rPr>
        <w:t xml:space="preserve">/data/finance/quarterly_financial_report.md</w:t>
      </w:r>
    </w:p>
    <w:bookmarkEnd w:id="40"/>
    <w:bookmarkStart w:id="41" w:name="c.-vendor-payment-analysis"/>
    <w:p>
      <w:pPr>
        <w:pStyle w:val="Heading3"/>
      </w:pPr>
      <w:r>
        <w:t xml:space="preserve">C. Vendor Payment Analysis</w:t>
      </w:r>
    </w:p>
    <w:p>
      <w:pPr>
        <w:pStyle w:val="FirstParagraph"/>
      </w:pPr>
      <w:r>
        <w:t xml:space="preserve">Vendor terms, aging, and payment metrics:</w:t>
      </w:r>
      <w:r>
        <w:t xml:space="preserve"> </w:t>
      </w:r>
      <w:r>
        <w:rPr>
          <w:rStyle w:val="VerbatimChar"/>
        </w:rPr>
        <w:t xml:space="preserve">/data/finance/vendor_payments_summary.md</w:t>
      </w:r>
    </w:p>
    <w:bookmarkEnd w:id="41"/>
    <w:bookmarkStart w:id="42" w:name="d.-audit-compliance"/>
    <w:p>
      <w:pPr>
        <w:pStyle w:val="Heading3"/>
      </w:pPr>
      <w:r>
        <w:t xml:space="preserve">D. Audit &amp; Compliance</w:t>
      </w:r>
    </w:p>
    <w:p>
      <w:pPr>
        <w:numPr>
          <w:ilvl w:val="0"/>
          <w:numId w:val="1001"/>
        </w:numPr>
        <w:pStyle w:val="Compact"/>
      </w:pPr>
      <w:r>
        <w:t xml:space="preserve">External Auditor: Deloitte Haskins &amp; Sells (Annual fee: ₹85 Lakh)</w:t>
      </w:r>
    </w:p>
    <w:p>
      <w:pPr>
        <w:numPr>
          <w:ilvl w:val="0"/>
          <w:numId w:val="1001"/>
        </w:numPr>
        <w:pStyle w:val="Compact"/>
      </w:pPr>
      <w:r>
        <w:t xml:space="preserve">Internal Audit: Conducted quarterly</w:t>
      </w:r>
    </w:p>
    <w:p>
      <w:pPr>
        <w:numPr>
          <w:ilvl w:val="0"/>
          <w:numId w:val="1001"/>
        </w:numPr>
        <w:pStyle w:val="Compact"/>
      </w:pPr>
      <w:r>
        <w:t xml:space="preserve">Tax Compliance: All returns filed on time, no pending assessments</w:t>
      </w:r>
    </w:p>
    <w:p>
      <w:pPr>
        <w:numPr>
          <w:ilvl w:val="0"/>
          <w:numId w:val="1001"/>
        </w:numPr>
        <w:pStyle w:val="Compact"/>
      </w:pPr>
      <w:r>
        <w:t xml:space="preserve">Regulatory Approvals: All required licenses and registrations current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p>
      <w:pPr>
        <w:pStyle w:val="BodyText"/>
      </w:pPr>
      <w:r>
        <w:rPr>
          <w:iCs/>
          <w:i/>
        </w:rPr>
        <w:t xml:space="preserve">This financial summary is confidential and prepared for internal stakeholders. Any external distribution requires approval from the CFO.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2026-03-24T06:53:03Z</dcterms:created>
  <dcterms:modified xsi:type="dcterms:W3CDTF">2026-03-24T06:53:03Z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