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f0bd4fabd2ba2dc02aed7401f598aca29b8f038"/>
    <w:p>
      <w:pPr>
        <w:pStyle w:val="Heading1"/>
      </w:pPr>
      <w:r>
        <w:t xml:space="preserve">FINSOVE TECHNOLOGIES - QUARTERLY FINANCIAL REPORT 2024</w:t>
      </w:r>
    </w:p>
    <w:p>
      <w:pPr>
        <w:pStyle w:val="FirstParagraph"/>
      </w:pPr>
      <w:r>
        <w:rPr>
          <w:b/>
          <w:bCs/>
        </w:rPr>
        <w:t xml:space="preserve">CONFIDENTIAL — FOR INTERNAL USE ONLY</w:t>
      </w:r>
    </w:p>
    <w:p>
      <w:pPr>
        <w:pStyle w:val="BodyText"/>
      </w:pPr>
      <w:r>
        <w:rPr>
          <w:b/>
          <w:bCs/>
        </w:rPr>
        <w:t xml:space="preserve">Document ID:</w:t>
      </w:r>
      <w:r>
        <w:t xml:space="preserve"> </w:t>
      </w:r>
      <w:r>
        <w:t xml:space="preserve">FIN-QTR-2024-001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January 1 – December 31, 2024 (Q1-Q4)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Vikram Patel, Controller &amp; VP Finance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Rajesh Mehta, Chief Financial Officer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FinSolve Technologies demonstrated exceptional financial execution across all four quarters of 2024, with sequential revenue growth, consistent margin expansion, and robust cash generation. Total annual revenue reached ₹783 Crore, representing 28% year-over-year growth, while maintaining disciplined cost management and improving profitability metrics.</w:t>
      </w:r>
    </w:p>
    <w:p>
      <w:pPr>
        <w:pStyle w:val="BodyText"/>
      </w:pPr>
      <w:r>
        <w:rPr>
          <w:b/>
          <w:bCs/>
        </w:rPr>
        <w:t xml:space="preserve">Key Performance Indicators (2024 Full Year):</w:t>
      </w:r>
      <w:r>
        <w:t xml:space="preserve"> </w:t>
      </w:r>
      <w:r>
        <w:t xml:space="preserve">- Total Revenue: ₹783 Crore (~$94M USD)</w:t>
      </w:r>
      <w:r>
        <w:t xml:space="preserve"> </w:t>
      </w:r>
      <w:r>
        <w:t xml:space="preserve">- Gross Profit: ₹502 Crore (64.1% margin)</w:t>
      </w:r>
      <w:r>
        <w:t xml:space="preserve"> </w:t>
      </w:r>
      <w:r>
        <w:t xml:space="preserve">- EBITDA: ₹138 Crore (17.6% margin)</w:t>
      </w:r>
      <w:r>
        <w:t xml:space="preserve"> </w:t>
      </w:r>
      <w:r>
        <w:t xml:space="preserve">- Net Income: ₹96 Crore (12.3% margin)</w:t>
      </w:r>
      <w:r>
        <w:t xml:space="preserve"> </w:t>
      </w:r>
      <w:r>
        <w:t xml:space="preserve">- Operating Cash Flow: ₹187 Crore</w:t>
      </w:r>
      <w:r>
        <w:t xml:space="preserve"> </w:t>
      </w:r>
      <w:r>
        <w:t xml:space="preserve">- Average Quarterly Revenue: ₹195.75 Crore</w:t>
      </w:r>
    </w:p>
    <w:p>
      <w:r>
        <w:pict>
          <v:rect style="width:0;height:1.5pt" o:hralign="center" o:hrstd="t" o:hr="t"/>
        </w:pict>
      </w:r>
    </w:p>
    <w:bookmarkEnd w:id="20"/>
    <w:bookmarkStart w:id="27" w:name="q1-2024-january-to-march"/>
    <w:p>
      <w:pPr>
        <w:pStyle w:val="Heading2"/>
      </w:pPr>
      <w:r>
        <w:t xml:space="preserve">Q1 2024 — JANUARY TO MARCH</w:t>
      </w:r>
    </w:p>
    <w:bookmarkStart w:id="21" w:name="financial-performance-summary"/>
    <w:p>
      <w:pPr>
        <w:pStyle w:val="Heading3"/>
      </w:pPr>
      <w:r>
        <w:t xml:space="preserve">Financial Performance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2040"/>
        <w:gridCol w:w="2040"/>
        <w:gridCol w:w="15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+3.6pp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+4.8pp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quarterly-income-statement"/>
    <w:p>
      <w:pPr>
        <w:pStyle w:val="Heading3"/>
      </w:pPr>
      <w:r>
        <w:t xml:space="preserve">Quarterly Income Statement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 (EBIT)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Expense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</w:tr>
    </w:tbl>
    <w:bookmarkEnd w:id="22"/>
    <w:bookmarkStart w:id="23" w:name="expense-breakdown-detail"/>
    <w:p>
      <w:pPr>
        <w:pStyle w:val="Heading3"/>
      </w:pPr>
      <w:r>
        <w:t xml:space="preserve">Expense Breakdown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7"/>
        <w:gridCol w:w="2101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employees; avg salary ₹33.6L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₹1000L, Azure ₹500L, Software ₹300L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&amp; CustAcq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marketing ₹700L, Events ₹400L, Collateral ₹200L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Contractors, specialized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rent, utilities,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travel, shipping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services,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cash-flow-analysis"/>
    <w:p>
      <w:pPr>
        <w:pStyle w:val="Heading3"/>
      </w:pPr>
      <w:r>
        <w:t xml:space="preserve">Cash Flow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Cash Flow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2024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2023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Change in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+5.8%</w:t>
            </w:r>
          </w:p>
        </w:tc>
      </w:tr>
    </w:tbl>
    <w:bookmarkEnd w:id="24"/>
    <w:bookmarkStart w:id="25" w:name="key-ratios"/>
    <w:p>
      <w:pPr>
        <w:pStyle w:val="Heading3"/>
      </w:pPr>
      <w:r>
        <w:t xml:space="preserve">Key Ratios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Sales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Payable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</w:tbl>
    <w:bookmarkEnd w:id="25"/>
    <w:bookmarkStart w:id="26" w:name="q1-strategic-highlights"/>
    <w:p>
      <w:pPr>
        <w:pStyle w:val="Heading3"/>
      </w:pPr>
      <w:r>
        <w:t xml:space="preserve">Q1 Strategic Highlights</w:t>
      </w:r>
    </w:p>
    <w:p>
      <w:pPr>
        <w:pStyle w:val="FirstParagraph"/>
      </w:pPr>
      <w:r>
        <w:rPr>
          <w:b/>
          <w:bCs/>
        </w:rPr>
        <w:t xml:space="preserve">Positive Developments:</w:t>
      </w:r>
      <w:r>
        <w:t xml:space="preserve"> </w:t>
      </w:r>
      <w:r>
        <w:t xml:space="preserve">- Strong revenue growth of 22% YoY driven by domestic market expansion</w:t>
      </w:r>
      <w:r>
        <w:t xml:space="preserve"> </w:t>
      </w:r>
      <w:r>
        <w:t xml:space="preserve">- Gross margin improved to 62.3% through negotiated cloud pricing</w:t>
      </w:r>
      <w:r>
        <w:t xml:space="preserve"> </w:t>
      </w:r>
      <w:r>
        <w:t xml:space="preserve">- Marketing spend maintained discipline at 7.1% of revenue</w:t>
      </w:r>
      <w:r>
        <w:t xml:space="preserve"> </w:t>
      </w:r>
      <w:r>
        <w:t xml:space="preserve">- Cash generation strong: ₹42 Crore operating cash flow</w:t>
      </w:r>
    </w:p>
    <w:p>
      <w:pPr>
        <w:pStyle w:val="BodyText"/>
      </w:pPr>
      <w:r>
        <w:rPr>
          <w:b/>
          <w:bCs/>
        </w:rPr>
        <w:t xml:space="preserve">Challenges &amp; Mitigation: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High DSO of 42 days due to enterprise customer acquisition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Implemented automated collections; target DSO of 35 days by Q3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q2-2024-april-to-june"/>
    <w:p>
      <w:pPr>
        <w:pStyle w:val="Heading2"/>
      </w:pPr>
      <w:r>
        <w:t xml:space="preserve">Q2 2024 — APRIL TO JUNE</w:t>
      </w:r>
    </w:p>
    <w:bookmarkStart w:id="28" w:name="financial-performance-summary-1"/>
    <w:p>
      <w:pPr>
        <w:pStyle w:val="Heading3"/>
      </w:pPr>
      <w:r>
        <w:t xml:space="preserve">Financial Performance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2040"/>
        <w:gridCol w:w="2040"/>
        <w:gridCol w:w="15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+7.8pp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quarterly-income-statement-1"/>
    <w:p>
      <w:pPr>
        <w:pStyle w:val="Heading3"/>
      </w:pPr>
      <w:r>
        <w:t xml:space="preserve">Quarterly Income Statement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 (EBIT)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Expense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</w:t>
            </w:r>
          </w:p>
        </w:tc>
      </w:tr>
    </w:tbl>
    <w:bookmarkEnd w:id="29"/>
    <w:bookmarkStart w:id="30" w:name="expense-breakdown-detail-1"/>
    <w:p>
      <w:pPr>
        <w:pStyle w:val="Heading3"/>
      </w:pPr>
      <w:r>
        <w:t xml:space="preserve">Expense Breakdown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7"/>
        <w:gridCol w:w="2101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employees; new hires in sales (Singapore)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₹1050L, Azure ₹550L, monitoring tools ₹300L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&amp; CustAcq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campaigns ₹800L, regional events ₹450L, referral program ₹200L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contractors, compliance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office setup costs (Singapore)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travel for SE Asia market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services,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0"/>
    <w:bookmarkStart w:id="31" w:name="cash-flow-analysis-1"/>
    <w:p>
      <w:pPr>
        <w:pStyle w:val="Heading3"/>
      </w:pPr>
      <w:r>
        <w:t xml:space="preserve">Cash Flow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Cash Flow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2024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2023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Change in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+2.0%</w:t>
            </w:r>
          </w:p>
        </w:tc>
      </w:tr>
    </w:tbl>
    <w:bookmarkEnd w:id="31"/>
    <w:bookmarkStart w:id="32" w:name="key-ratios-1"/>
    <w:p>
      <w:pPr>
        <w:pStyle w:val="Heading3"/>
      </w:pPr>
      <w:r>
        <w:t xml:space="preserve">Key Ratios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Sales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</w:tbl>
    <w:bookmarkEnd w:id="32"/>
    <w:bookmarkStart w:id="33" w:name="q2-strategic-highlights"/>
    <w:p>
      <w:pPr>
        <w:pStyle w:val="Heading3"/>
      </w:pPr>
      <w:r>
        <w:t xml:space="preserve">Q2 Strategic Highlights</w:t>
      </w:r>
    </w:p>
    <w:p>
      <w:pPr>
        <w:pStyle w:val="FirstParagraph"/>
      </w:pPr>
      <w:r>
        <w:rPr>
          <w:b/>
          <w:bCs/>
        </w:rPr>
        <w:t xml:space="preserve">Positive Developments:</w:t>
      </w:r>
      <w:r>
        <w:t xml:space="preserve"> </w:t>
      </w:r>
      <w:r>
        <w:t xml:space="preserve">- Accelerated growth to 24.7% YoY through Southeast Asia market entry</w:t>
      </w:r>
      <w:r>
        <w:t xml:space="preserve"> </w:t>
      </w:r>
      <w:r>
        <w:t xml:space="preserve">- Gross margin further improved to 63.0% (+70 bps QoQ)</w:t>
      </w:r>
      <w:r>
        <w:t xml:space="preserve"> </w:t>
      </w:r>
      <w:r>
        <w:t xml:space="preserve">- EBITDA growth of 119% YoY demonstrates strong operational leverage</w:t>
      </w:r>
      <w:r>
        <w:t xml:space="preserve"> </w:t>
      </w:r>
      <w:r>
        <w:t xml:space="preserve">- DSO improved to 40 days from 42 days; collections initiatives working</w:t>
      </w:r>
      <w:r>
        <w:t xml:space="preserve"> </w:t>
      </w:r>
      <w:r>
        <w:t xml:space="preserve">- Successfully launched Singapore office with 15 hires</w:t>
      </w:r>
    </w:p>
    <w:p>
      <w:pPr>
        <w:pStyle w:val="BodyText"/>
      </w:pPr>
      <w:r>
        <w:rPr>
          <w:b/>
          <w:bCs/>
        </w:rPr>
        <w:t xml:space="preserve">Challenges &amp; Mitigation: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Increased marketing spend for market entry (7.6% of revenue)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Performance-based marketing with 3.2x ROAS achieved; sustainable model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q3-2024-july-to-september"/>
    <w:p>
      <w:pPr>
        <w:pStyle w:val="Heading2"/>
      </w:pPr>
      <w:r>
        <w:t xml:space="preserve">Q3 2024 — JULY TO SEPTEMBER</w:t>
      </w:r>
    </w:p>
    <w:bookmarkStart w:id="35" w:name="financial-performance-summary-2"/>
    <w:p>
      <w:pPr>
        <w:pStyle w:val="Heading3"/>
      </w:pPr>
      <w:r>
        <w:t xml:space="preserve">Financial Performance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2040"/>
        <w:gridCol w:w="2040"/>
        <w:gridCol w:w="15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+5.9pp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quarterly-income-statement-2"/>
    <w:p>
      <w:pPr>
        <w:pStyle w:val="Heading3"/>
      </w:pPr>
      <w:r>
        <w:t xml:space="preserve">Quarterly Income Statement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 (EBIT)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Expense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</w:tr>
    </w:tbl>
    <w:bookmarkEnd w:id="36"/>
    <w:bookmarkStart w:id="37" w:name="expense-breakdown-detail-2"/>
    <w:p>
      <w:pPr>
        <w:pStyle w:val="Heading3"/>
      </w:pPr>
      <w:r>
        <w:t xml:space="preserve">Expense Breakdown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7"/>
        <w:gridCol w:w="2101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employees; expansion in Mumbai, Bangalore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₹1100L, Azure ₹600L, new analytics platform ₹300L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&amp; CustAcq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campaigns ₹900L, partnership events ₹450L, brand ₹200L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research, regional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compliance for India regulatory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visits, team travel for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services,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7"/>
    <w:bookmarkStart w:id="38" w:name="cash-flow-analysis-2"/>
    <w:p>
      <w:pPr>
        <w:pStyle w:val="Heading3"/>
      </w:pPr>
      <w:r>
        <w:t xml:space="preserve">Cash Flow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Cash Flow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2024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2023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Change in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+3.2%</w:t>
            </w:r>
          </w:p>
        </w:tc>
      </w:tr>
    </w:tbl>
    <w:bookmarkEnd w:id="38"/>
    <w:bookmarkStart w:id="39" w:name="key-ratios-2"/>
    <w:p>
      <w:pPr>
        <w:pStyle w:val="Heading3"/>
      </w:pPr>
      <w:r>
        <w:t xml:space="preserve">Key Ratios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Sales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1.48x</w:t>
            </w:r>
          </w:p>
        </w:tc>
      </w:tr>
    </w:tbl>
    <w:bookmarkEnd w:id="39"/>
    <w:bookmarkStart w:id="40" w:name="q3-strategic-highlights"/>
    <w:p>
      <w:pPr>
        <w:pStyle w:val="Heading3"/>
      </w:pPr>
      <w:r>
        <w:t xml:space="preserve">Q3 Strategic Highlights</w:t>
      </w:r>
    </w:p>
    <w:p>
      <w:pPr>
        <w:pStyle w:val="FirstParagraph"/>
      </w:pPr>
      <w:r>
        <w:rPr>
          <w:b/>
          <w:bCs/>
        </w:rPr>
        <w:t xml:space="preserve">Positive Developments:</w:t>
      </w:r>
      <w:r>
        <w:t xml:space="preserve"> </w:t>
      </w:r>
      <w:r>
        <w:t xml:space="preserve">- Strong 28.5% YoY growth sustained through product innovation and market expansion</w:t>
      </w:r>
      <w:r>
        <w:t xml:space="preserve"> </w:t>
      </w:r>
      <w:r>
        <w:t xml:space="preserve">- Gross margin achieved 63.5%, near peak levels</w:t>
      </w:r>
      <w:r>
        <w:t xml:space="preserve"> </w:t>
      </w:r>
      <w:r>
        <w:t xml:space="preserve">- EBITDA growth of 153% YoY demonstrates strong business model</w:t>
      </w:r>
      <w:r>
        <w:t xml:space="preserve"> </w:t>
      </w:r>
      <w:r>
        <w:t xml:space="preserve">- Successful expansion: 160 employees now operational across 4 cities</w:t>
      </w:r>
      <w:r>
        <w:t xml:space="preserve"> </w:t>
      </w:r>
      <w:r>
        <w:t xml:space="preserve">- DSO improved to 38 days; payment terms optimization working</w:t>
      </w:r>
    </w:p>
    <w:p>
      <w:pPr>
        <w:pStyle w:val="BodyText"/>
      </w:pPr>
      <w:r>
        <w:rPr>
          <w:b/>
          <w:bCs/>
        </w:rPr>
        <w:t xml:space="preserve">Challenges &amp; Mitigation: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Increased R&amp;D spend for product platform rebuild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New platform expected to launch Q1 2025; will reduce tech infrastructure costs by 15%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q4-2024-october-to-december"/>
    <w:p>
      <w:pPr>
        <w:pStyle w:val="Heading2"/>
      </w:pPr>
      <w:r>
        <w:t xml:space="preserve">Q4 2024 — OCTOBER TO DECEMBER</w:t>
      </w:r>
    </w:p>
    <w:bookmarkStart w:id="42" w:name="financial-performance-summary-3"/>
    <w:p>
      <w:pPr>
        <w:pStyle w:val="Heading3"/>
      </w:pPr>
      <w:r>
        <w:t xml:space="preserve">Financial Performance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2040"/>
        <w:gridCol w:w="2040"/>
        <w:gridCol w:w="15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+8.9pp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bookmarkStart w:id="43" w:name="quarterly-income-statement-3"/>
    <w:p>
      <w:pPr>
        <w:pStyle w:val="Heading3"/>
      </w:pPr>
      <w:r>
        <w:t xml:space="preserve">Quarterly Income Statement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 (EBIT)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Expense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</w:tr>
    </w:tbl>
    <w:bookmarkEnd w:id="43"/>
    <w:bookmarkStart w:id="44" w:name="expense-breakdown-detail-3"/>
    <w:p>
      <w:pPr>
        <w:pStyle w:val="Heading3"/>
      </w:pPr>
      <w:r>
        <w:t xml:space="preserve">Expense Breakdown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7"/>
        <w:gridCol w:w="2101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employees; seasonal bonuses +15%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₹1000L, Azure ₹500L, new infra reduction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&amp; CustAcq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 campaigns ₹1000L, year-end initiatives ₹500L, trade shows ₹200L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Year-end project contractors, audit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Year-end compliance, audit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visits, team celebrations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services, subscriptions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4"/>
    <w:bookmarkStart w:id="45" w:name="cash-flow-analysis-3"/>
    <w:p>
      <w:pPr>
        <w:pStyle w:val="Heading3"/>
      </w:pPr>
      <w:r>
        <w:t xml:space="preserve">Cash Flow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Cash Flow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2024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2023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Change in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+9.8%</w:t>
            </w:r>
          </w:p>
        </w:tc>
      </w:tr>
    </w:tbl>
    <w:bookmarkEnd w:id="45"/>
    <w:bookmarkStart w:id="46" w:name="key-ratios-3"/>
    <w:p>
      <w:pPr>
        <w:pStyle w:val="Heading3"/>
      </w:pPr>
      <w:r>
        <w:t xml:space="preserve">Key Ratios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Sales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4.0x</w:t>
            </w:r>
          </w:p>
        </w:tc>
      </w:tr>
    </w:tbl>
    <w:bookmarkEnd w:id="46"/>
    <w:bookmarkStart w:id="47" w:name="q4-strategic-highlights"/>
    <w:p>
      <w:pPr>
        <w:pStyle w:val="Heading3"/>
      </w:pPr>
      <w:r>
        <w:t xml:space="preserve">Q4 Strategic Highlights</w:t>
      </w:r>
    </w:p>
    <w:p>
      <w:pPr>
        <w:pStyle w:val="FirstParagraph"/>
      </w:pPr>
      <w:r>
        <w:rPr>
          <w:b/>
          <w:bCs/>
        </w:rPr>
        <w:t xml:space="preserve">Positive Developments:</w:t>
      </w:r>
      <w:r>
        <w:t xml:space="preserve"> </w:t>
      </w:r>
      <w:r>
        <w:t xml:space="preserve">- Exceptional 37.6% YoY growth accelerated by holiday campaigns and year-end promotions</w:t>
      </w:r>
      <w:r>
        <w:t xml:space="preserve"> </w:t>
      </w:r>
      <w:r>
        <w:t xml:space="preserve">- Gross margin peaked at 67.3% due to favorable product mix and cost optimization</w:t>
      </w:r>
      <w:r>
        <w:t xml:space="preserve"> </w:t>
      </w:r>
      <w:r>
        <w:t xml:space="preserve">- EBITDA growth of 514% demonstrates exceptional operational scale-up</w:t>
      </w:r>
      <w:r>
        <w:t xml:space="preserve"> </w:t>
      </w:r>
      <w:r>
        <w:t xml:space="preserve">- Strong cash flow generation: ₹45 Crore in operating cash flow</w:t>
      </w:r>
      <w:r>
        <w:t xml:space="preserve"> </w:t>
      </w:r>
      <w:r>
        <w:t xml:space="preserve">- Successfully expanded to 170 employees; operations in India, Singapore, US</w:t>
      </w:r>
    </w:p>
    <w:p>
      <w:pPr>
        <w:pStyle w:val="BodyText"/>
      </w:pPr>
      <w:r>
        <w:rPr>
          <w:b/>
          <w:bCs/>
        </w:rPr>
        <w:t xml:space="preserve">Challenges &amp; Mitigation: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Increased marketing spend (8.3% of revenue) for holiday season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High ROI campaigns (4.8x ROAS achieved); reduced spend in Q1 2025 after seasonal peak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Year-end project completions created working capital timing 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Accelerated collections; DSO maintained at healthy 37 days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annual-financial-summary"/>
    <w:p>
      <w:pPr>
        <w:pStyle w:val="Heading2"/>
      </w:pPr>
      <w:r>
        <w:t xml:space="preserve">2024 ANNUAL FINANCIAL SUMMARY</w:t>
      </w:r>
    </w:p>
    <w:bookmarkStart w:id="49" w:name="full-year-consolidated-income-statement"/>
    <w:p>
      <w:pPr>
        <w:pStyle w:val="Heading3"/>
      </w:pPr>
      <w:r>
        <w:t xml:space="preserve">Full Year Consolidated Income Statement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Year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 (EBIT)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Expense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</w:tr>
    </w:tbl>
    <w:bookmarkEnd w:id="49"/>
    <w:bookmarkStart w:id="50" w:name="quarterly-comparison---revenue-trend"/>
    <w:p>
      <w:pPr>
        <w:pStyle w:val="Heading3"/>
      </w:pPr>
      <w:r>
        <w:t xml:space="preserve">Quarterly Comparison - Revenue Trend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QoQ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783.0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quarterly-margin-evolution"/>
    <w:p>
      <w:pPr>
        <w:pStyle w:val="Heading3"/>
      </w:pPr>
      <w:r>
        <w:t xml:space="preserve">Quarterly Margin Evolution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Avg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16.6%</w:t>
            </w:r>
          </w:p>
        </w:tc>
      </w:tr>
    </w:tbl>
    <w:bookmarkEnd w:id="51"/>
    <w:bookmarkStart w:id="52" w:name="key-observations"/>
    <w:p>
      <w:pPr>
        <w:pStyle w:val="Heading3"/>
      </w:pPr>
      <w:r>
        <w:t xml:space="preserve">Key Observations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Revenue Progression:</w:t>
      </w:r>
      <w:r>
        <w:t xml:space="preserve"> </w:t>
      </w:r>
      <w:r>
        <w:t xml:space="preserve">Sequential revenue growth across all quarters (4.9% Q1→Q2, 5.7% Q2→Q3, 1.0% Q3→Q4 moderation due to Q4 already being seasonally strong)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Margin Expansion:</w:t>
      </w:r>
      <w:r>
        <w:t xml:space="preserve"> </w:t>
      </w:r>
      <w:r>
        <w:t xml:space="preserve">Consistent margin improvement driven by:</w:t>
      </w:r>
    </w:p>
    <w:p>
      <w:pPr>
        <w:pStyle w:val="Compact"/>
        <w:numPr>
          <w:ilvl w:val="1"/>
          <w:numId w:val="1002"/>
        </w:numPr>
      </w:pPr>
      <w:r>
        <w:t xml:space="preserve">Operational leverage (OpEx as % of revenue declining)</w:t>
      </w:r>
    </w:p>
    <w:p>
      <w:pPr>
        <w:pStyle w:val="Compact"/>
        <w:numPr>
          <w:ilvl w:val="1"/>
          <w:numId w:val="1002"/>
        </w:numPr>
      </w:pPr>
      <w:r>
        <w:t xml:space="preserve">Product mix optimization (higher-margin enterprise offerings)</w:t>
      </w:r>
    </w:p>
    <w:p>
      <w:pPr>
        <w:pStyle w:val="Compact"/>
        <w:numPr>
          <w:ilvl w:val="1"/>
          <w:numId w:val="1002"/>
        </w:numPr>
      </w:pPr>
      <w:r>
        <w:t xml:space="preserve">Infrastructure cost reductions through reserved capacity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Operating Efficiency:</w:t>
      </w:r>
      <w:r>
        <w:t xml:space="preserve"> </w:t>
      </w:r>
      <w:r>
        <w:t xml:space="preserve">OpEx ratio improved from 44.8% in Q1-Q3 to 46.3% in Q4 (slight increase due to seasonal bonuses and marketing), but full-year OpEx ratio of 46.5% reflects good discipline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Cash Generation:</w:t>
      </w:r>
      <w:r>
        <w:t xml:space="preserve"> </w:t>
      </w:r>
      <w:r>
        <w:t xml:space="preserve">Strong operating cash flow of ₹187 Crore (23.9% of revenue) enabled ₹52 Crore in investments while maintaining healthy cash reserves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quarter-over-quarter-trends-analysis"/>
    <w:p>
      <w:pPr>
        <w:pStyle w:val="Heading2"/>
      </w:pPr>
      <w:r>
        <w:t xml:space="preserve">QUARTER-OVER-QUARTER TRENDS &amp; ANALYSIS</w:t>
      </w:r>
    </w:p>
    <w:bookmarkStart w:id="54" w:name="revenue-drivers-by-quarter"/>
    <w:p>
      <w:pPr>
        <w:pStyle w:val="Heading3"/>
      </w:pPr>
      <w:r>
        <w:t xml:space="preserve">Revenue Drivers by Quarter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Organic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</w:tr>
    </w:tbl>
    <w:bookmarkEnd w:id="54"/>
    <w:bookmarkStart w:id="55" w:name="expense-category-trends"/>
    <w:p>
      <w:pPr>
        <w:pStyle w:val="Heading3"/>
      </w:pPr>
      <w:r>
        <w:t xml:space="preserve">Expense Category Trends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1070"/>
        <w:gridCol w:w="1070"/>
        <w:gridCol w:w="1070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&amp; Benefits (% Rev)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 &amp; Infrastructure (% Rev)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(% Rev)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Services (% Rev)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risks-mitigation-strategies"/>
    <w:p>
      <w:pPr>
        <w:pStyle w:val="Heading2"/>
      </w:pPr>
      <w:r>
        <w:t xml:space="preserve">RISKS &amp; MITIGATION STRATEGIES</w:t>
      </w:r>
    </w:p>
    <w:bookmarkStart w:id="57" w:name="operational-risks"/>
    <w:p>
      <w:pPr>
        <w:pStyle w:val="Heading3"/>
      </w:pPr>
      <w:r>
        <w:t xml:space="preserve">Operational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Competition Risk</w:t>
      </w:r>
      <w:r>
        <w:t xml:space="preserve"> </w:t>
      </w:r>
      <w:r>
        <w:t xml:space="preserve">- Addressed through product differentiation and geographic expansion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Talent Retention Risk</w:t>
      </w:r>
      <w:r>
        <w:t xml:space="preserve"> </w:t>
      </w:r>
      <w:r>
        <w:t xml:space="preserve">- Compensation increased 4.4% average; new career development programs launched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Scalability Risk</w:t>
      </w:r>
      <w:r>
        <w:t xml:space="preserve"> </w:t>
      </w:r>
      <w:r>
        <w:t xml:space="preserve">- Multi-cloud strategy (60% AWS, 40% Azure) with load balancing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Dependency Risk</w:t>
      </w:r>
      <w:r>
        <w:t xml:space="preserve"> </w:t>
      </w:r>
      <w:r>
        <w:t xml:space="preserve">- Vendor base diversified from 32 in Q1 to 28 in Q4 (consolidation for better terms)</w:t>
      </w:r>
    </w:p>
    <w:bookmarkEnd w:id="57"/>
    <w:bookmarkStart w:id="58" w:name="financial-risks"/>
    <w:p>
      <w:pPr>
        <w:pStyle w:val="Heading3"/>
      </w:pPr>
      <w:r>
        <w:t xml:space="preserve">Financial Risks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Foreign Exchange Risk</w:t>
      </w:r>
      <w:r>
        <w:t xml:space="preserve"> </w:t>
      </w:r>
      <w:r>
        <w:t xml:space="preserve">- 45% revenue exposure; 38% hedged through natural operations and forward contracts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Working Capital Risk</w:t>
      </w:r>
      <w:r>
        <w:t xml:space="preserve"> </w:t>
      </w:r>
      <w:r>
        <w:t xml:space="preserve">- DSO improved from 42 to 37 days; DPO maintained at 32-35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 Rate Risk</w:t>
      </w:r>
      <w:r>
        <w:t xml:space="preserve"> </w:t>
      </w:r>
      <w:r>
        <w:t xml:space="preserve">- Debt declining (₹30 Crore); interest expense minimal at ₹6.55 Crore annually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commendations-for-2025"/>
    <w:p>
      <w:pPr>
        <w:pStyle w:val="Heading2"/>
      </w:pPr>
      <w:r>
        <w:t xml:space="preserve">RECOMMENDATIONS FOR 2025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Accelerate Product Innovation</w:t>
      </w:r>
      <w:r>
        <w:t xml:space="preserve"> </w:t>
      </w:r>
      <w:r>
        <w:t xml:space="preserve">- Increase R&amp;D allocation from 6.4% to 8% of revenue for next-gen platform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Geographic Expansion</w:t>
      </w:r>
      <w:r>
        <w:t xml:space="preserve"> </w:t>
      </w:r>
      <w:r>
        <w:t xml:space="preserve">- Scale Southeast Asia operations; expand to 3 additional countries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Margin Optimization</w:t>
      </w:r>
      <w:r>
        <w:t xml:space="preserve"> </w:t>
      </w:r>
      <w:r>
        <w:t xml:space="preserve">- Target 66% gross margin through infrastructure optimization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Working Capital Management</w:t>
      </w:r>
      <w:r>
        <w:t xml:space="preserve"> </w:t>
      </w:r>
      <w:r>
        <w:t xml:space="preserve">- Reduce DSO to 30 days; negotiate longer DPO terms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Investor Relations</w:t>
      </w:r>
      <w:r>
        <w:t xml:space="preserve"> </w:t>
      </w:r>
      <w:r>
        <w:t xml:space="preserve">- Prepare for potential Series C funding to support aggressive growth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This quarterly report is confidential and prepared for internal stakeholders. External distribution requires CFO approval.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2026-03-24T06:47:23Z</dcterms:created>
  <dcterms:modified xsi:type="dcterms:W3CDTF">2026-03-24T06:47:23Z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