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32114c5c77dd0cde266c96f5fbeeca1a6283fa1"/>
    <w:p>
      <w:pPr>
        <w:pStyle w:val="Heading1"/>
      </w:pPr>
      <w:r>
        <w:t xml:space="preserve">FINSOVE TECHNOLOGIES - VENDOR PAYMENTS &amp; ACCOUNTS PAYABLE SUMMARY 2024</w:t>
      </w:r>
    </w:p>
    <w:p>
      <w:pPr>
        <w:pStyle w:val="FirstParagraph"/>
      </w:pPr>
      <w:r>
        <w:rPr>
          <w:b/>
          <w:bCs/>
        </w:rPr>
        <w:t xml:space="preserve">CONFIDENTIAL — FOR INTERNAL USE ONLY</w:t>
      </w:r>
    </w:p>
    <w:p>
      <w:pPr>
        <w:pStyle w:val="BodyText"/>
      </w:pPr>
      <w:r>
        <w:rPr>
          <w:b/>
          <w:bCs/>
        </w:rPr>
        <w:t xml:space="preserve">Document ID:</w:t>
      </w:r>
      <w:r>
        <w:t xml:space="preserve"> </w:t>
      </w:r>
      <w:r>
        <w:t xml:space="preserve">FIN-VEND-2024-001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25, 2025</w:t>
      </w:r>
      <w:r>
        <w:t xml:space="preserve"> </w:t>
      </w:r>
      <w:r>
        <w:rPr>
          <w:b/>
          <w:bCs/>
        </w:rPr>
        <w:t xml:space="preserve">Reporting Period:</w:t>
      </w:r>
      <w:r>
        <w:t xml:space="preserve"> </w:t>
      </w:r>
      <w:r>
        <w:t xml:space="preserve">January 1 – December 31, 2024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Meera Desai, Head of Accounts Payable &amp; Vendor Management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Rajesh Mehta, Chief Financial Officer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FinSolve Technologies maintained 28 active vendor relationships in 2024, generating total vendor payments of ₹240 Crore across cloud infrastructure, professional services, contractors, and operational supplies. The company demonstrated strong vendor management discipline with 94% on-time payment rate, zero payment disputes, and successful renegotiation of key contracts yielding ₹8-10 Crore in annual savings.</w:t>
      </w:r>
    </w:p>
    <w:p>
      <w:pPr>
        <w:pStyle w:val="BodyText"/>
      </w:pPr>
      <w:r>
        <w:rPr>
          <w:b/>
          <w:bCs/>
        </w:rPr>
        <w:t xml:space="preserve">Key Vendor Metrics:</w:t>
      </w:r>
      <w:r>
        <w:t xml:space="preserve"> </w:t>
      </w:r>
      <w:r>
        <w:t xml:space="preserve">- Active Vendor Base: 28 vendors</w:t>
      </w:r>
      <w:r>
        <w:t xml:space="preserve"> </w:t>
      </w:r>
      <w:r>
        <w:t xml:space="preserve">- Total Vendor Payments: ₹240 Crore (30.7% of revenue)</w:t>
      </w:r>
      <w:r>
        <w:t xml:space="preserve"> </w:t>
      </w:r>
      <w:r>
        <w:t xml:space="preserve">- On-Time Payment Rate: 94%</w:t>
      </w:r>
      <w:r>
        <w:t xml:space="preserve"> </w:t>
      </w:r>
      <w:r>
        <w:t xml:space="preserve">- Payment Disputes: 0 (Perfect record)</w:t>
      </w:r>
      <w:r>
        <w:t xml:space="preserve"> </w:t>
      </w:r>
      <w:r>
        <w:t xml:space="preserve">- Average Days Payable Outstanding (DPO): 32 days</w:t>
      </w:r>
      <w:r>
        <w:t xml:space="preserve"> </w:t>
      </w:r>
      <w:r>
        <w:t xml:space="preserve">- Top 10 Vendors: ₹168 Crore (70% of payments)</w:t>
      </w:r>
      <w:r>
        <w:t xml:space="preserve"> </w:t>
      </w:r>
      <w:r>
        <w:t xml:space="preserve">- Vendor Concentration Risk: Medium (top 3 vendors = 32% of payments)</w:t>
      </w:r>
    </w:p>
    <w:p>
      <w:r>
        <w:pict>
          <v:rect style="width:0;height:1.5pt" o:hralign="center" o:hrstd="t" o:hr="t"/>
        </w:pict>
      </w:r>
    </w:p>
    <w:bookmarkEnd w:id="20"/>
    <w:bookmarkStart w:id="22" w:name="top-10-vendors-analysis"/>
    <w:p>
      <w:pPr>
        <w:pStyle w:val="Heading2"/>
      </w:pPr>
      <w:r>
        <w:t xml:space="preserve">TOP 10 VENDORS ANALYSIS</w:t>
      </w:r>
    </w:p>
    <w:bookmarkStart w:id="21" w:name="vendor-payment-summary-ranked-by-amount"/>
    <w:p>
      <w:pPr>
        <w:pStyle w:val="Heading3"/>
      </w:pPr>
      <w:r>
        <w:t xml:space="preserve">Vendor Payment Summary (Ranked by Amount)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94"/>
        <w:gridCol w:w="1287"/>
        <w:gridCol w:w="990"/>
        <w:gridCol w:w="1782"/>
        <w:gridCol w:w="1584"/>
        <w:gridCol w:w="16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Payments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Amazon Web Services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3/31/2025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 Azure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Deloitte Haskins &amp; Sells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Accenture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9/30/2025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HireRight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Infosys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Oracle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9/30/2025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Wipro 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Cisco Systems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Networking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3/31/2025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Grant Thornton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&amp;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6/30/2025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 10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 18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GRAND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vendor-portfolio-analysis"/>
    <w:p>
      <w:pPr>
        <w:pStyle w:val="Heading2"/>
      </w:pPr>
      <w:r>
        <w:t xml:space="preserve">VENDOR PORTFOLIO ANALYSIS</w:t>
      </w:r>
    </w:p>
    <w:bookmarkStart w:id="23" w:name="vendors-by-category"/>
    <w:p>
      <w:pPr>
        <w:pStyle w:val="Heading3"/>
      </w:pPr>
      <w:r>
        <w:t xml:space="preserve">Vendors by Category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2"/>
        <w:gridCol w:w="1354"/>
        <w:gridCol w:w="1875"/>
        <w:gridCol w:w="1146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of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Spend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Contract Value (₹ 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 &amp;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Staffing &amp; HR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Facilities &amp;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892</w:t>
            </w:r>
          </w:p>
        </w:tc>
      </w:tr>
    </w:tbl>
    <w:bookmarkEnd w:id="23"/>
    <w:bookmarkStart w:id="24" w:name="vendor-concentration-risk-analysis"/>
    <w:p>
      <w:pPr>
        <w:pStyle w:val="Heading3"/>
      </w:pPr>
      <w:r>
        <w:t xml:space="preserve">Vendor Concentration Risk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0"/>
        <w:gridCol w:w="1430"/>
        <w:gridCol w:w="1980"/>
        <w:gridCol w:w="1210"/>
        <w:gridCol w:w="1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Concentration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of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Spend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3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5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 18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AWS dependency (42.8% of spend) represents material concentration risk. Single failure or service disruption would significantly impact operations. Multi-cloud strategy (AWS 60% / Azure 40%) reduces risk but AWS remains dominant.</w:t>
      </w:r>
    </w:p>
    <w:p>
      <w:pPr>
        <w:pStyle w:val="BodyText"/>
      </w:pPr>
      <w:r>
        <w:rPr>
          <w:b/>
          <w:bCs/>
        </w:rPr>
        <w:t xml:space="preserve">Mitigation Strategy:</w:t>
      </w:r>
      <w:r>
        <w:t xml:space="preserve"> </w:t>
      </w:r>
      <w:r>
        <w:t xml:space="preserve">Actively negotiating with Azure expansion in 2025 (target: Azure 45%, AWS 50%, alternative 5%)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detailed-vendor-profiles"/>
    <w:p>
      <w:pPr>
        <w:pStyle w:val="Heading2"/>
      </w:pPr>
      <w:r>
        <w:t xml:space="preserve">DETAILED VENDOR PROFILES</w:t>
      </w:r>
    </w:p>
    <w:bookmarkStart w:id="31" w:name="top-vendors-detailed-profiles"/>
    <w:p>
      <w:pPr>
        <w:pStyle w:val="Heading3"/>
      </w:pPr>
      <w:r>
        <w:t xml:space="preserve">TOP VENDORS — DETAILED PROFILES</w:t>
      </w:r>
    </w:p>
    <w:bookmarkStart w:id="26" w:name="amazon-web-services-aws-india"/>
    <w:p>
      <w:pPr>
        <w:pStyle w:val="Heading4"/>
      </w:pPr>
      <w:r>
        <w:t xml:space="preserve">1. Amazon Web Services (AWS) India</w:t>
      </w:r>
    </w:p>
    <w:p>
      <w:pPr>
        <w:pStyle w:val="FirstParagraph"/>
      </w:pPr>
      <w:r>
        <w:rPr>
          <w:b/>
          <w:bCs/>
        </w:rPr>
        <w:t xml:space="preserve">Vendor Details:</w:t>
      </w:r>
      <w:r>
        <w:t xml:space="preserve"> </w:t>
      </w:r>
      <w:r>
        <w:t xml:space="preserve">- Contract Value: ₹10,700 Lakh (42.8% of total spend)</w:t>
      </w:r>
      <w:r>
        <w:t xml:space="preserve"> </w:t>
      </w:r>
      <w:r>
        <w:t xml:space="preserve">- Services: Cloud compute, storage, database, analytics</w:t>
      </w:r>
      <w:r>
        <w:t xml:space="preserve"> </w:t>
      </w:r>
      <w:r>
        <w:t xml:space="preserve">- Primary Usage: 85% production workloads, 15% development/test</w:t>
      </w:r>
      <w:r>
        <w:t xml:space="preserve"> </w:t>
      </w:r>
      <w:r>
        <w:t xml:space="preserve">- Region: India (Bangalore), with backup in Singapore</w:t>
      </w:r>
      <w:r>
        <w:t xml:space="preserve"> </w:t>
      </w:r>
      <w:r>
        <w:t xml:space="preserve">- SLA: 99.95% uptime with ₹50L penalty per incident</w:t>
      </w:r>
      <w:r>
        <w:t xml:space="preserve"> </w:t>
      </w:r>
      <w:r>
        <w:t xml:space="preserve">- Payment Terms: Net 45 (average 42 days paid)</w:t>
      </w:r>
    </w:p>
    <w:p>
      <w:pPr>
        <w:pStyle w:val="BodyText"/>
      </w:pPr>
      <w:r>
        <w:rPr>
          <w:b/>
          <w:bCs/>
        </w:rPr>
        <w:t xml:space="preserve">Contract Economics:</w:t>
      </w:r>
      <w:r>
        <w:t xml:space="preserve"> </w:t>
      </w:r>
      <w:r>
        <w:t xml:space="preserve">| Year | Usage Spend (₹ L) | Committed Discounts (₹ L) | Negotiated Savings | Net Cost |</w:t>
      </w:r>
      <w:r>
        <w:t xml:space="preserve"> </w:t>
      </w:r>
      <w:r>
        <w:t xml:space="preserve">|——|—————–|———————-|—————–|———|</w:t>
      </w:r>
      <w:r>
        <w:t xml:space="preserve"> </w:t>
      </w:r>
      <w:r>
        <w:t xml:space="preserve">| 2024 | 11200 | 500 | 4.5% | 10700 |</w:t>
      </w:r>
      <w:r>
        <w:t xml:space="preserve"> </w:t>
      </w:r>
      <w:r>
        <w:t xml:space="preserve">| 2023 | 9850 | 200 | 2.0% | 9652 |</w:t>
      </w:r>
      <w:r>
        <w:t xml:space="preserve"> </w:t>
      </w:r>
      <w:r>
        <w:t xml:space="preserve">| Growth | +13.7% | +150% | +2.5pp | +10.8% |</w:t>
      </w:r>
    </w:p>
    <w:p>
      <w:pPr>
        <w:pStyle w:val="BodyText"/>
      </w:pPr>
      <w:r>
        <w:rPr>
          <w:b/>
          <w:bCs/>
        </w:rPr>
        <w:t xml:space="preserve">Reserved Capacity Purchases:</w:t>
      </w:r>
      <w:r>
        <w:t xml:space="preserve"> </w:t>
      </w:r>
      <w:r>
        <w:t xml:space="preserve">- Reserved Instances: ₹3200L (locked rates for 1-3 years)</w:t>
      </w:r>
      <w:r>
        <w:t xml:space="preserve"> </w:t>
      </w:r>
      <w:r>
        <w:t xml:space="preserve">- Savings vs. On-Demand: ₹1850L annually</w:t>
      </w:r>
      <w:r>
        <w:t xml:space="preserve"> </w:t>
      </w:r>
      <w:r>
        <w:t xml:space="preserve">- Payback Period: 1.7 years</w:t>
      </w:r>
    </w:p>
    <w:p>
      <w:pPr>
        <w:pStyle w:val="BodyText"/>
      </w:pPr>
      <w:r>
        <w:rPr>
          <w:b/>
          <w:bCs/>
        </w:rPr>
        <w:t xml:space="preserve">2025 Negotiation Strategy:</w:t>
      </w:r>
      <w:r>
        <w:t xml:space="preserve"> </w:t>
      </w:r>
      <w:r>
        <w:t xml:space="preserve">- Target: ₹9,800L (8.4% reduction through volume and reserved capacity)</w:t>
      </w:r>
      <w:r>
        <w:t xml:space="preserve"> </w:t>
      </w:r>
      <w:r>
        <w:t xml:space="preserve">- Leverage: Multi-cloud threat (expand Azure to 45%)</w:t>
      </w:r>
      <w:r>
        <w:t xml:space="preserve"> </w:t>
      </w:r>
      <w:r>
        <w:t xml:space="preserve">- Timeline: Renegotiate by 3/31/2025 (contract expiry)</w:t>
      </w:r>
      <w:r>
        <w:t xml:space="preserve"> </w:t>
      </w:r>
      <w:r>
        <w:t xml:space="preserve">- Expected Outcome: 3-5 year contract with committed growth discounts</w:t>
      </w:r>
    </w:p>
    <w:p>
      <w:r>
        <w:pict>
          <v:rect style="width:0;height:1.5pt" o:hralign="center" o:hrstd="t" o:hr="t"/>
        </w:pict>
      </w:r>
    </w:p>
    <w:bookmarkEnd w:id="26"/>
    <w:bookmarkStart w:id="27" w:name="microsoft-azure-india"/>
    <w:p>
      <w:pPr>
        <w:pStyle w:val="Heading4"/>
      </w:pPr>
      <w:r>
        <w:t xml:space="preserve">2. Microsoft Azure India</w:t>
      </w:r>
    </w:p>
    <w:p>
      <w:pPr>
        <w:pStyle w:val="FirstParagraph"/>
      </w:pPr>
      <w:r>
        <w:rPr>
          <w:b/>
          <w:bCs/>
        </w:rPr>
        <w:t xml:space="preserve">Vendor Details:</w:t>
      </w:r>
      <w:r>
        <w:t xml:space="preserve"> </w:t>
      </w:r>
      <w:r>
        <w:t xml:space="preserve">- Contract Value: ₹5,800 Lakh (23.2% of total spend)</w:t>
      </w:r>
      <w:r>
        <w:t xml:space="preserve"> </w:t>
      </w:r>
      <w:r>
        <w:t xml:space="preserve">- Services: Virtual machines, storage, databases, AI/ML services</w:t>
      </w:r>
      <w:r>
        <w:t xml:space="preserve"> </w:t>
      </w:r>
      <w:r>
        <w:t xml:space="preserve">- Primary Usage: 60% production, 40% development/test</w:t>
      </w:r>
      <w:r>
        <w:t xml:space="preserve"> </w:t>
      </w:r>
      <w:r>
        <w:t xml:space="preserve">- Region: India (Mumbai) with global backup</w:t>
      </w:r>
      <w:r>
        <w:t xml:space="preserve"> </w:t>
      </w:r>
      <w:r>
        <w:t xml:space="preserve">- SLA: 99.9% uptime (lower than AWS but adequate)</w:t>
      </w:r>
      <w:r>
        <w:t xml:space="preserve"> </w:t>
      </w:r>
      <w:r>
        <w:t xml:space="preserve">- Payment Terms: Net 45 (average 43 days paid)</w:t>
      </w:r>
    </w:p>
    <w:p>
      <w:pPr>
        <w:pStyle w:val="BodyText"/>
      </w:pPr>
      <w:r>
        <w:rPr>
          <w:b/>
          <w:bCs/>
        </w:rPr>
        <w:t xml:space="preserve">Strategic Importance:</w:t>
      </w:r>
      <w:r>
        <w:t xml:space="preserve"> </w:t>
      </w:r>
      <w:r>
        <w:t xml:space="preserve">- Part of multi-cloud strategy to reduce AWS dependency</w:t>
      </w:r>
      <w:r>
        <w:t xml:space="preserve"> </w:t>
      </w:r>
      <w:r>
        <w:t xml:space="preserve">- Growing faster than AWS in 2024 (+18% vs. AWS +10.8%)</w:t>
      </w:r>
      <w:r>
        <w:t xml:space="preserve"> </w:t>
      </w:r>
      <w:r>
        <w:t xml:space="preserve">- Better pricing for enterprise services and data analytics</w:t>
      </w:r>
      <w:r>
        <w:t xml:space="preserve"> </w:t>
      </w:r>
      <w:r>
        <w:t xml:space="preserve">- Integrates well with Microsoft Office 365 stack</w:t>
      </w:r>
    </w:p>
    <w:p>
      <w:pPr>
        <w:pStyle w:val="BodyText"/>
      </w:pPr>
      <w:r>
        <w:rPr>
          <w:b/>
          <w:bCs/>
        </w:rPr>
        <w:t xml:space="preserve">Contract Economics:</w:t>
      </w:r>
      <w:r>
        <w:t xml:space="preserve"> </w:t>
      </w:r>
      <w:r>
        <w:t xml:space="preserve">| Year | Usage Spend (₹ L) | Committed Discounts (₹ L) | Net Cost |</w:t>
      </w:r>
      <w:r>
        <w:t xml:space="preserve"> </w:t>
      </w:r>
      <w:r>
        <w:t xml:space="preserve">|——|—————–|———————-|———|</w:t>
      </w:r>
      <w:r>
        <w:t xml:space="preserve"> </w:t>
      </w:r>
      <w:r>
        <w:t xml:space="preserve">| 2024 | 6050 | 250 | 5800 |</w:t>
      </w:r>
      <w:r>
        <w:t xml:space="preserve"> </w:t>
      </w:r>
      <w:r>
        <w:t xml:space="preserve">| 2023 | 5080 | 80 | 5000 |</w:t>
      </w:r>
      <w:r>
        <w:t xml:space="preserve"> </w:t>
      </w:r>
      <w:r>
        <w:t xml:space="preserve">| Growth | +19.1% | +212% | +16.0% |</w:t>
      </w:r>
    </w:p>
    <w:p>
      <w:pPr>
        <w:pStyle w:val="BodyText"/>
      </w:pPr>
      <w:r>
        <w:rPr>
          <w:b/>
          <w:bCs/>
        </w:rPr>
        <w:t xml:space="preserve">2025 Expansion Plan:</w:t>
      </w:r>
      <w:r>
        <w:t xml:space="preserve"> </w:t>
      </w:r>
      <w:r>
        <w:t xml:space="preserve">- Target Spend: ₹7,200L (24% growth)</w:t>
      </w:r>
      <w:r>
        <w:t xml:space="preserve"> </w:t>
      </w:r>
      <w:r>
        <w:t xml:space="preserve">- Goal: Increase to 45% of total cloud spend (from current 40%)</w:t>
      </w:r>
      <w:r>
        <w:t xml:space="preserve"> </w:t>
      </w:r>
      <w:r>
        <w:t xml:space="preserve">- New Services: AI/ML platform, advanced analytics</w:t>
      </w:r>
      <w:r>
        <w:t xml:space="preserve"> </w:t>
      </w:r>
      <w:r>
        <w:t xml:space="preserve">- Negotiated Rate: ₹1.15/compute unit (down from ₹1.22)</w:t>
      </w:r>
    </w:p>
    <w:p>
      <w:r>
        <w:pict>
          <v:rect style="width:0;height:1.5pt" o:hralign="center" o:hrstd="t" o:hr="t"/>
        </w:pict>
      </w:r>
    </w:p>
    <w:bookmarkEnd w:id="27"/>
    <w:bookmarkStart w:id="28" w:name="deloitte-haskins-sells-external-audit"/>
    <w:p>
      <w:pPr>
        <w:pStyle w:val="Heading4"/>
      </w:pPr>
      <w:r>
        <w:t xml:space="preserve">3. Deloitte Haskins &amp; Sells (External Audit)</w:t>
      </w:r>
    </w:p>
    <w:p>
      <w:pPr>
        <w:pStyle w:val="FirstParagraph"/>
      </w:pPr>
      <w:r>
        <w:rPr>
          <w:b/>
          <w:bCs/>
        </w:rPr>
        <w:t xml:space="preserve">Vendor Details:</w:t>
      </w:r>
      <w:r>
        <w:t xml:space="preserve"> </w:t>
      </w:r>
      <w:r>
        <w:t xml:space="preserve">- Contract Value: ₹1,300 Lakh (5.2% of total spend)</w:t>
      </w:r>
      <w:r>
        <w:t xml:space="preserve"> </w:t>
      </w:r>
      <w:r>
        <w:t xml:space="preserve">- Services: External audit, tax compliance, audit support</w:t>
      </w:r>
      <w:r>
        <w:t xml:space="preserve"> </w:t>
      </w:r>
      <w:r>
        <w:t xml:space="preserve">- Engagement Model: Annual engagement + quarterly reviews</w:t>
      </w:r>
      <w:r>
        <w:t xml:space="preserve"> </w:t>
      </w:r>
      <w:r>
        <w:t xml:space="preserve">- Lead Partner: Rohan Kapoor (12 years experience)</w:t>
      </w:r>
      <w:r>
        <w:t xml:space="preserve"> </w:t>
      </w:r>
      <w:r>
        <w:t xml:space="preserve">- Fee Structure: Fixed base + variable for additional services</w:t>
      </w:r>
      <w:r>
        <w:t xml:space="preserve"> </w:t>
      </w:r>
      <w:r>
        <w:t xml:space="preserve">- Contract Terms: Annual renewal</w:t>
      </w:r>
    </w:p>
    <w:p>
      <w:pPr>
        <w:pStyle w:val="BodyText"/>
      </w:pPr>
      <w:r>
        <w:rPr>
          <w:b/>
          <w:bCs/>
        </w:rPr>
        <w:t xml:space="preserve">Service Scope:</w:t>
      </w:r>
      <w:r>
        <w:t xml:space="preserve"> </w:t>
      </w:r>
      <w:r>
        <w:t xml:space="preserve">- Financial Statement Audit: ₹650L</w:t>
      </w:r>
      <w:r>
        <w:t xml:space="preserve"> </w:t>
      </w:r>
      <w:r>
        <w:t xml:space="preserve">- Tax Compliance &amp; Planning: ₹350L</w:t>
      </w:r>
      <w:r>
        <w:t xml:space="preserve"> </w:t>
      </w:r>
      <w:r>
        <w:t xml:space="preserve">- Regulatory Compliance: ₹200L</w:t>
      </w:r>
      <w:r>
        <w:t xml:space="preserve"> </w:t>
      </w:r>
      <w:r>
        <w:t xml:space="preserve">- Special Projects: ₹100L</w:t>
      </w:r>
    </w:p>
    <w:p>
      <w:pPr>
        <w:pStyle w:val="BodyText"/>
      </w:pPr>
      <w:r>
        <w:rPr>
          <w:b/>
          <w:bCs/>
        </w:rPr>
        <w:t xml:space="preserve">Audit Coverage:</w:t>
      </w:r>
      <w:r>
        <w:t xml:space="preserve"> </w:t>
      </w:r>
      <w:r>
        <w:t xml:space="preserve">- Subsidiary Audits: Singapore, US, UK offices (international compliance)</w:t>
      </w:r>
      <w:r>
        <w:t xml:space="preserve"> </w:t>
      </w:r>
      <w:r>
        <w:t xml:space="preserve">- Internal Control Assessment: SOX-equivalent review</w:t>
      </w:r>
      <w:r>
        <w:t xml:space="preserve"> </w:t>
      </w:r>
      <w:r>
        <w:t xml:space="preserve">- Risk Assessment: Business continuity, data protection</w:t>
      </w:r>
      <w:r>
        <w:t xml:space="preserve"> </w:t>
      </w:r>
      <w:r>
        <w:t xml:space="preserve">- Quarterly Reviews: Governance and compliance check-ins</w:t>
      </w:r>
    </w:p>
    <w:p>
      <w:pPr>
        <w:pStyle w:val="BodyText"/>
      </w:pPr>
      <w:r>
        <w:rPr>
          <w:b/>
          <w:bCs/>
        </w:rPr>
        <w:t xml:space="preserve">Cost Management:</w:t>
      </w:r>
      <w:r>
        <w:t xml:space="preserve"> </w:t>
      </w:r>
      <w:r>
        <w:t xml:space="preserve">- 2024 Fee vs. 2023: +2.5% (controlled increase)</w:t>
      </w:r>
      <w:r>
        <w:t xml:space="preserve"> </w:t>
      </w:r>
      <w:r>
        <w:t xml:space="preserve">- Estimated 2025 Fee: ₹1,350L (additional scope for India DPA compliance)</w:t>
      </w:r>
      <w:r>
        <w:t xml:space="preserve"> </w:t>
      </w:r>
      <w:r>
        <w:t xml:space="preserve">- Negotiation Points: Bundle scope for fixed fee; reduce hourly rates by 10%</w:t>
      </w:r>
    </w:p>
    <w:p>
      <w:pPr>
        <w:pStyle w:val="BodyText"/>
      </w:pPr>
      <w:r>
        <w:rPr>
          <w:b/>
          <w:bCs/>
        </w:rPr>
        <w:t xml:space="preserve">Quality Metrics:</w:t>
      </w:r>
      <w:r>
        <w:t xml:space="preserve"> </w:t>
      </w:r>
      <w:r>
        <w:t xml:space="preserve">- Issues Raised in Audit: 0 (clean bill)</w:t>
      </w:r>
      <w:r>
        <w:t xml:space="preserve"> </w:t>
      </w:r>
      <w:r>
        <w:t xml:space="preserve">- Management Comments: 0 disputed items</w:t>
      </w:r>
      <w:r>
        <w:t xml:space="preserve"> </w:t>
      </w:r>
      <w:r>
        <w:t xml:space="preserve">- Audit Duration: 28 days (efficient)</w:t>
      </w:r>
      <w:r>
        <w:t xml:space="preserve"> </w:t>
      </w:r>
      <w:r>
        <w:t xml:space="preserve">- Responsiveness: Average 2-hour response time</w:t>
      </w:r>
    </w:p>
    <w:p>
      <w:r>
        <w:pict>
          <v:rect style="width:0;height:1.5pt" o:hralign="center" o:hrstd="t" o:hr="t"/>
        </w:pict>
      </w:r>
    </w:p>
    <w:bookmarkEnd w:id="28"/>
    <w:bookmarkStart w:id="29" w:name="accenture-india-professional-services"/>
    <w:p>
      <w:pPr>
        <w:pStyle w:val="Heading4"/>
      </w:pPr>
      <w:r>
        <w:t xml:space="preserve">4. Accenture India (Professional Services)</w:t>
      </w:r>
    </w:p>
    <w:p>
      <w:pPr>
        <w:pStyle w:val="FirstParagraph"/>
      </w:pPr>
      <w:r>
        <w:rPr>
          <w:b/>
          <w:bCs/>
        </w:rPr>
        <w:t xml:space="preserve">Vendor Details:</w:t>
      </w:r>
      <w:r>
        <w:t xml:space="preserve"> </w:t>
      </w:r>
      <w:r>
        <w:t xml:space="preserve">- Contract Value: ₹1,150 Lakh (4.6% of total spend)</w:t>
      </w:r>
      <w:r>
        <w:t xml:space="preserve"> </w:t>
      </w:r>
      <w:r>
        <w:t xml:space="preserve">- Services: Consulting, system implementation, process optimization</w:t>
      </w:r>
      <w:r>
        <w:t xml:space="preserve"> </w:t>
      </w:r>
      <w:r>
        <w:t xml:space="preserve">- Account Team: 8 consultants (principal, managers, analysts)</w:t>
      </w:r>
      <w:r>
        <w:t xml:space="preserve"> </w:t>
      </w:r>
      <w:r>
        <w:t xml:space="preserve">- Engagement Model: Time &amp; materials with monthly retainer option</w:t>
      </w:r>
      <w:r>
        <w:t xml:space="preserve"> </w:t>
      </w:r>
      <w:r>
        <w:t xml:space="preserve">- Payment Terms: Net 60 (leveraged relationship discount)</w:t>
      </w:r>
    </w:p>
    <w:p>
      <w:pPr>
        <w:pStyle w:val="BodyText"/>
      </w:pPr>
      <w:r>
        <w:rPr>
          <w:b/>
          <w:bCs/>
        </w:rPr>
        <w:t xml:space="preserve">Engagement History:</w:t>
      </w:r>
      <w:r>
        <w:t xml:space="preserve"> </w:t>
      </w:r>
      <w:r>
        <w:t xml:space="preserve">| Project | Year | Budget (₹ L) | Status | ROI |</w:t>
      </w:r>
      <w:r>
        <w:t xml:space="preserve"> </w:t>
      </w:r>
      <w:r>
        <w:t xml:space="preserve">|———|——|————-|——–|—–|</w:t>
      </w:r>
      <w:r>
        <w:t xml:space="preserve"> </w:t>
      </w:r>
      <w:r>
        <w:t xml:space="preserve">| RPA Implementation | 2024 | 350 | Complete | 2.0x (₹7L annual savings) |</w:t>
      </w:r>
      <w:r>
        <w:t xml:space="preserve"> </w:t>
      </w:r>
      <w:r>
        <w:t xml:space="preserve">| ERP Assessment | 2024 | 280 | Ongoing | On track |</w:t>
      </w:r>
      <w:r>
        <w:t xml:space="preserve"> </w:t>
      </w:r>
      <w:r>
        <w:t xml:space="preserve">| Process Optimization | 2024 | 320 | Complete | 1.5x |</w:t>
      </w:r>
      <w:r>
        <w:t xml:space="preserve"> </w:t>
      </w:r>
      <w:r>
        <w:t xml:space="preserve">| Org Design Study | 2024 | 200 | Complete | 1.2x |</w:t>
      </w:r>
    </w:p>
    <w:p>
      <w:pPr>
        <w:pStyle w:val="BodyText"/>
      </w:pPr>
      <w:r>
        <w:rPr>
          <w:b/>
          <w:bCs/>
        </w:rPr>
        <w:t xml:space="preserve">Value Delivery:</w:t>
      </w:r>
      <w:r>
        <w:t xml:space="preserve"> </w:t>
      </w:r>
      <w:r>
        <w:t xml:space="preserve">- Projects Completed On-Time: 100%</w:t>
      </w:r>
      <w:r>
        <w:t xml:space="preserve"> </w:t>
      </w:r>
      <w:r>
        <w:t xml:space="preserve">- Client Satisfaction Score: 9.2/10</w:t>
      </w:r>
      <w:r>
        <w:t xml:space="preserve"> </w:t>
      </w:r>
      <w:r>
        <w:t xml:space="preserve">- Repeat Business: 90% of budget</w:t>
      </w:r>
      <w:r>
        <w:t xml:space="preserve"> </w:t>
      </w:r>
      <w:r>
        <w:t xml:space="preserve">- Net Promoter Score: +75</w:t>
      </w:r>
    </w:p>
    <w:p>
      <w:pPr>
        <w:pStyle w:val="BodyText"/>
      </w:pPr>
      <w:r>
        <w:rPr>
          <w:b/>
          <w:bCs/>
        </w:rPr>
        <w:t xml:space="preserve">2025 Planned Engagement:</w:t>
      </w:r>
      <w:r>
        <w:t xml:space="preserve"> </w:t>
      </w:r>
      <w:r>
        <w:t xml:space="preserve">- Budget: ₹1,300L (+13%)</w:t>
      </w:r>
      <w:r>
        <w:t xml:space="preserve"> </w:t>
      </w:r>
      <w:r>
        <w:t xml:space="preserve">- Focus: Digital transformation, India expansion support</w:t>
      </w:r>
      <w:r>
        <w:t xml:space="preserve"> </w:t>
      </w:r>
      <w:r>
        <w:t xml:space="preserve">- Proposed Model: Retainer ₹900L + project variable ₹400L</w:t>
      </w:r>
      <w:r>
        <w:t xml:space="preserve"> </w:t>
      </w:r>
      <w:r>
        <w:t xml:space="preserve">- Expected Outcome: ₹3-4 Crore value creation</w:t>
      </w:r>
    </w:p>
    <w:p>
      <w:r>
        <w:pict>
          <v:rect style="width:0;height:1.5pt" o:hralign="center" o:hrstd="t" o:hr="t"/>
        </w:pict>
      </w:r>
    </w:p>
    <w:bookmarkEnd w:id="29"/>
    <w:bookmarkStart w:id="30" w:name="hireright-solutions-recruitment-services"/>
    <w:p>
      <w:pPr>
        <w:pStyle w:val="Heading4"/>
      </w:pPr>
      <w:r>
        <w:t xml:space="preserve">5. HireRight Solutions (Recruitment Services)</w:t>
      </w:r>
    </w:p>
    <w:p>
      <w:pPr>
        <w:pStyle w:val="FirstParagraph"/>
      </w:pPr>
      <w:r>
        <w:rPr>
          <w:b/>
          <w:bCs/>
        </w:rPr>
        <w:t xml:space="preserve">Vendor Details:</w:t>
      </w:r>
      <w:r>
        <w:t xml:space="preserve"> </w:t>
      </w:r>
      <w:r>
        <w:t xml:space="preserve">- Contract Value: ₹950 Lakh (3.8% of total spend)</w:t>
      </w:r>
      <w:r>
        <w:t xml:space="preserve"> </w:t>
      </w:r>
      <w:r>
        <w:t xml:space="preserve">- Services: Executive search, specialized recruiting, background checks</w:t>
      </w:r>
      <w:r>
        <w:t xml:space="preserve"> </w:t>
      </w:r>
      <w:r>
        <w:t xml:space="preserve">- Placements in 2024: 58 candidates (60% success rate at placement)</w:t>
      </w:r>
      <w:r>
        <w:t xml:space="preserve"> </w:t>
      </w:r>
      <w:r>
        <w:t xml:space="preserve">- Fee Structure: 22% of first-year salary for successful placements</w:t>
      </w:r>
      <w:r>
        <w:t xml:space="preserve"> </w:t>
      </w:r>
      <w:r>
        <w:t xml:space="preserve">- Key Roles Filled: Engineering (24), Sales (18), Product (10), Other (6)</w:t>
      </w:r>
    </w:p>
    <w:p>
      <w:pPr>
        <w:pStyle w:val="BodyText"/>
      </w:pPr>
      <w:r>
        <w:rPr>
          <w:b/>
          <w:bCs/>
        </w:rPr>
        <w:t xml:space="preserve">Recruitment Metrics:</w:t>
      </w:r>
      <w:r>
        <w:t xml:space="preserve"> </w:t>
      </w:r>
      <w:r>
        <w:t xml:space="preserve">| Metric | 2024 | 2023 | Trend |</w:t>
      </w:r>
      <w:r>
        <w:t xml:space="preserve"> </w:t>
      </w:r>
      <w:r>
        <w:t xml:space="preserve">|——–|——|——|——-|</w:t>
      </w:r>
      <w:r>
        <w:t xml:space="preserve"> </w:t>
      </w:r>
      <w:r>
        <w:t xml:space="preserve">| Total Placements | 58 | 42 | +38% |</w:t>
      </w:r>
      <w:r>
        <w:t xml:space="preserve"> </w:t>
      </w:r>
      <w:r>
        <w:t xml:space="preserve">| Success Rate (Placed/Submitted) | 60% | 55% | +5pp |</w:t>
      </w:r>
      <w:r>
        <w:t xml:space="preserve"> </w:t>
      </w:r>
      <w:r>
        <w:t xml:space="preserve">| Avg. Time-to-Fill | 28 days | 35 days | -20% |</w:t>
      </w:r>
      <w:r>
        <w:t xml:space="preserve"> </w:t>
      </w:r>
      <w:r>
        <w:t xml:space="preserve">| Avg. Placement Fee | 16.4L | 15.2L | +7.9% |</w:t>
      </w:r>
      <w:r>
        <w:t xml:space="preserve"> </w:t>
      </w:r>
      <w:r>
        <w:t xml:space="preserve">| Retained After 1 Year | 96% | 94% | +2pp |</w:t>
      </w:r>
    </w:p>
    <w:p>
      <w:pPr>
        <w:pStyle w:val="BodyText"/>
      </w:pPr>
      <w:r>
        <w:rPr>
          <w:b/>
          <w:bCs/>
        </w:rPr>
        <w:t xml:space="preserve">Cost Analysis:</w:t>
      </w:r>
      <w:r>
        <w:t xml:space="preserve"> </w:t>
      </w:r>
      <w:r>
        <w:t xml:space="preserve">- Total Placement Fees: ₹950L</w:t>
      </w:r>
      <w:r>
        <w:t xml:space="preserve"> </w:t>
      </w:r>
      <w:r>
        <w:t xml:space="preserve">- Internal Recruiting Team Cost: ₹200L (in HR budget)</w:t>
      </w:r>
      <w:r>
        <w:t xml:space="preserve"> </w:t>
      </w:r>
      <w:r>
        <w:t xml:space="preserve">- Cost per Hire: ₹20.0L (including internal)</w:t>
      </w:r>
      <w:r>
        <w:t xml:space="preserve"> </w:t>
      </w:r>
      <w:r>
        <w:t xml:space="preserve">- Compared to Internal-Only Model: Would cost ₹32L (58 × 6.4L/hire)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Savings:</w:t>
      </w:r>
      <w:r>
        <w:t xml:space="preserve"> </w:t>
      </w:r>
      <w:r>
        <w:t xml:space="preserve">₹12L vs. full internal recruiting</w:t>
      </w:r>
    </w:p>
    <w:p>
      <w:pPr>
        <w:pStyle w:val="BodyText"/>
      </w:pPr>
      <w:r>
        <w:rPr>
          <w:b/>
          <w:bCs/>
        </w:rPr>
        <w:t xml:space="preserve">2025 Plan:</w:t>
      </w:r>
      <w:r>
        <w:t xml:space="preserve"> </w:t>
      </w:r>
      <w:r>
        <w:t xml:space="preserve">- Budget: ₹1,100L (for 65 planned hires)</w:t>
      </w:r>
      <w:r>
        <w:t xml:space="preserve"> </w:t>
      </w:r>
      <w:r>
        <w:t xml:space="preserve">- Diversify to 2 additional recruiters (reduce concentration)</w:t>
      </w:r>
      <w:r>
        <w:t xml:space="preserve"> </w:t>
      </w:r>
      <w:r>
        <w:t xml:space="preserve">- Implement fixed-fee model for volume roles (₹5L/hire for standard profiles)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other-significant-vendors"/>
    <w:p>
      <w:pPr>
        <w:pStyle w:val="Heading3"/>
      </w:pPr>
      <w:r>
        <w:t xml:space="preserve">Other Significant Vendors</w:t>
      </w:r>
    </w:p>
    <w:bookmarkStart w:id="32" w:name="Xcc30e0da9832bbe00f1bebf3bb46c8b527934ee"/>
    <w:p>
      <w:pPr>
        <w:pStyle w:val="Heading4"/>
      </w:pPr>
      <w:r>
        <w:t xml:space="preserve">Infosys Limited — IT Infrastructure Services (₹850L)</w:t>
      </w:r>
    </w:p>
    <w:p>
      <w:pPr>
        <w:pStyle w:val="Compact"/>
        <w:numPr>
          <w:ilvl w:val="0"/>
          <w:numId w:val="1001"/>
        </w:numPr>
      </w:pPr>
      <w:r>
        <w:t xml:space="preserve">Managed IT services, help desk, infrastructure support</w:t>
      </w:r>
    </w:p>
    <w:p>
      <w:pPr>
        <w:pStyle w:val="Compact"/>
        <w:numPr>
          <w:ilvl w:val="0"/>
          <w:numId w:val="1001"/>
        </w:numPr>
      </w:pPr>
      <w:r>
        <w:t xml:space="preserve">SLA: 95% ticket resolution within 24 hours</w:t>
      </w:r>
    </w:p>
    <w:p>
      <w:pPr>
        <w:pStyle w:val="Compact"/>
        <w:numPr>
          <w:ilvl w:val="0"/>
          <w:numId w:val="1001"/>
        </w:numPr>
      </w:pPr>
      <w:r>
        <w:t xml:space="preserve">Cost Control: Renegotiated 2024 contract, saved ₹40L annually</w:t>
      </w:r>
    </w:p>
    <w:p>
      <w:pPr>
        <w:pStyle w:val="Compact"/>
        <w:numPr>
          <w:ilvl w:val="0"/>
          <w:numId w:val="1001"/>
        </w:numPr>
      </w:pPr>
      <w:r>
        <w:t xml:space="preserve">Contract Expiry: 6/30/2025 (renewal planned Q2)</w:t>
      </w:r>
    </w:p>
    <w:bookmarkEnd w:id="32"/>
    <w:bookmarkStart w:id="33" w:name="oracle-india-software-licenses-750l"/>
    <w:p>
      <w:pPr>
        <w:pStyle w:val="Heading4"/>
      </w:pPr>
      <w:r>
        <w:t xml:space="preserve">Oracle India — Software Licenses (₹750L)</w:t>
      </w:r>
    </w:p>
    <w:p>
      <w:pPr>
        <w:pStyle w:val="Compact"/>
        <w:numPr>
          <w:ilvl w:val="0"/>
          <w:numId w:val="1002"/>
        </w:numPr>
      </w:pPr>
      <w:r>
        <w:t xml:space="preserve">Database, middleware, development tools</w:t>
      </w:r>
    </w:p>
    <w:p>
      <w:pPr>
        <w:pStyle w:val="Compact"/>
        <w:numPr>
          <w:ilvl w:val="0"/>
          <w:numId w:val="1002"/>
        </w:numPr>
      </w:pPr>
      <w:r>
        <w:t xml:space="preserve">License Model: Cloud subscription + on-premise perpetual</w:t>
      </w:r>
    </w:p>
    <w:p>
      <w:pPr>
        <w:pStyle w:val="Compact"/>
        <w:numPr>
          <w:ilvl w:val="0"/>
          <w:numId w:val="1002"/>
        </w:numPr>
      </w:pPr>
      <w:r>
        <w:t xml:space="preserve">Contract Expiry: 9/30/2025</w:t>
      </w:r>
    </w:p>
    <w:p>
      <w:pPr>
        <w:pStyle w:val="Compact"/>
        <w:numPr>
          <w:ilvl w:val="0"/>
          <w:numId w:val="1002"/>
        </w:numPr>
      </w:pPr>
      <w:r>
        <w:t xml:space="preserve">2025 Negotiation: Consolidate with cloud services provider (reduce duplication)</w:t>
      </w:r>
    </w:p>
    <w:bookmarkEnd w:id="33"/>
    <w:bookmarkStart w:id="34" w:name="Xa4b464bf70511b492143a51cd65e36cccaff70d"/>
    <w:p>
      <w:pPr>
        <w:pStyle w:val="Heading4"/>
      </w:pPr>
      <w:r>
        <w:t xml:space="preserve">Wipro Technologies — Technology Services (₹620L)</w:t>
      </w:r>
    </w:p>
    <w:p>
      <w:pPr>
        <w:pStyle w:val="Compact"/>
        <w:numPr>
          <w:ilvl w:val="0"/>
          <w:numId w:val="1003"/>
        </w:numPr>
      </w:pPr>
      <w:r>
        <w:t xml:space="preserve">Augmented development, quality assurance, infrastructure</w:t>
      </w:r>
    </w:p>
    <w:p>
      <w:pPr>
        <w:pStyle w:val="Compact"/>
        <w:numPr>
          <w:ilvl w:val="0"/>
          <w:numId w:val="1003"/>
        </w:numPr>
      </w:pPr>
      <w:r>
        <w:t xml:space="preserve">Team Size: 12 dedicated engineers</w:t>
      </w:r>
    </w:p>
    <w:p>
      <w:pPr>
        <w:pStyle w:val="Compact"/>
        <w:numPr>
          <w:ilvl w:val="0"/>
          <w:numId w:val="1003"/>
        </w:numPr>
      </w:pPr>
      <w:r>
        <w:t xml:space="preserve">Quality Metrics: Defect escape rate 2.1%, within industry benchmark</w:t>
      </w:r>
    </w:p>
    <w:p>
      <w:pPr>
        <w:pStyle w:val="Compact"/>
        <w:numPr>
          <w:ilvl w:val="0"/>
          <w:numId w:val="1003"/>
        </w:numPr>
      </w:pPr>
      <w:r>
        <w:t xml:space="preserve">Contract Expiry: 12/31/2024 (renewal negotiations ongoing)</w:t>
      </w:r>
    </w:p>
    <w:bookmarkEnd w:id="34"/>
    <w:bookmarkStart w:id="35" w:name="Xe1e44b41862a5fdcc4bda80084427bc28240fae"/>
    <w:p>
      <w:pPr>
        <w:pStyle w:val="Heading4"/>
      </w:pPr>
      <w:r>
        <w:t xml:space="preserve">Cisco Systems India — Networking Equipment (₹520L)</w:t>
      </w:r>
    </w:p>
    <w:p>
      <w:pPr>
        <w:pStyle w:val="Compact"/>
        <w:numPr>
          <w:ilvl w:val="0"/>
          <w:numId w:val="1004"/>
        </w:numPr>
      </w:pPr>
      <w:r>
        <w:t xml:space="preserve">Network infrastructure, security, switching equipment</w:t>
      </w:r>
    </w:p>
    <w:p>
      <w:pPr>
        <w:pStyle w:val="Compact"/>
        <w:numPr>
          <w:ilvl w:val="0"/>
          <w:numId w:val="1004"/>
        </w:numPr>
      </w:pPr>
      <w:r>
        <w:t xml:space="preserve">High-value equipment with depreciation over 3-5 years</w:t>
      </w:r>
    </w:p>
    <w:p>
      <w:pPr>
        <w:pStyle w:val="Compact"/>
        <w:numPr>
          <w:ilvl w:val="0"/>
          <w:numId w:val="1004"/>
        </w:numPr>
      </w:pPr>
      <w:r>
        <w:t xml:space="preserve">Maintenance &amp; Support: Included in contract</w:t>
      </w:r>
    </w:p>
    <w:p>
      <w:pPr>
        <w:pStyle w:val="Compact"/>
        <w:numPr>
          <w:ilvl w:val="0"/>
          <w:numId w:val="1004"/>
        </w:numPr>
      </w:pPr>
      <w:r>
        <w:t xml:space="preserve">Contract Expiry: 3/31/2025</w:t>
      </w:r>
    </w:p>
    <w:bookmarkEnd w:id="35"/>
    <w:bookmarkStart w:id="36" w:name="grant-thornton-india-tax-legal-480l"/>
    <w:p>
      <w:pPr>
        <w:pStyle w:val="Heading4"/>
      </w:pPr>
      <w:r>
        <w:t xml:space="preserve">Grant Thornton India — Tax &amp; Legal (₹480L)</w:t>
      </w:r>
    </w:p>
    <w:p>
      <w:pPr>
        <w:pStyle w:val="Compact"/>
        <w:numPr>
          <w:ilvl w:val="0"/>
          <w:numId w:val="1005"/>
        </w:numPr>
      </w:pPr>
      <w:r>
        <w:t xml:space="preserve">Tax planning, corporate tax returns, indirect tax</w:t>
      </w:r>
    </w:p>
    <w:p>
      <w:pPr>
        <w:pStyle w:val="Compact"/>
        <w:numPr>
          <w:ilvl w:val="0"/>
          <w:numId w:val="1005"/>
        </w:numPr>
      </w:pPr>
      <w:r>
        <w:t xml:space="preserve">Transfer Pricing Study: ₹120L (allocated to this vendor)</w:t>
      </w:r>
    </w:p>
    <w:p>
      <w:pPr>
        <w:pStyle w:val="Compact"/>
        <w:numPr>
          <w:ilvl w:val="0"/>
          <w:numId w:val="1005"/>
        </w:numPr>
      </w:pPr>
      <w:r>
        <w:t xml:space="preserve">Compliance Rate: 100% (zero tax adjustments)</w:t>
      </w:r>
    </w:p>
    <w:p>
      <w:pPr>
        <w:pStyle w:val="Compact"/>
        <w:numPr>
          <w:ilvl w:val="0"/>
          <w:numId w:val="1005"/>
        </w:numPr>
      </w:pPr>
      <w:r>
        <w:t xml:space="preserve">Contract Expiry: 6/30/2025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accounts-payable-aging-analysis"/>
    <w:p>
      <w:pPr>
        <w:pStyle w:val="Heading2"/>
      </w:pPr>
      <w:r>
        <w:t xml:space="preserve">ACCOUNTS PAYABLE AGING ANALYSIS</w:t>
      </w:r>
    </w:p>
    <w:bookmarkStart w:id="39" w:name="Xa00b0276cb6ab671d15b0d6e8ba5b393c792d6a"/>
    <w:p>
      <w:pPr>
        <w:pStyle w:val="Heading3"/>
      </w:pPr>
      <w:r>
        <w:t xml:space="preserve">Overall A/P Aging Summary (as of Dec 31, 2024)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705"/>
        <w:gridCol w:w="2071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Aging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of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Invoice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(0-30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Due/Paid 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30-60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Processing/Minor delays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60-90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Negotiation/Disputes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90+ days (Overdue)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A/P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Aging 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&amp; 30-60 Days</w:t>
      </w:r>
      <w:r>
        <w:t xml:space="preserve">: 92.9% of payables (healthy)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60-90 Days</w:t>
      </w:r>
      <w:r>
        <w:t xml:space="preserve">: 4.8% (minor issues)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90+ Days Overdue</w:t>
      </w:r>
      <w:r>
        <w:t xml:space="preserve">: 2.2% (problem accounts)</w:t>
      </w:r>
    </w:p>
    <w:bookmarkEnd w:id="39"/>
    <w:bookmarkStart w:id="40" w:name="aging-trend-analysis-2024"/>
    <w:p>
      <w:pPr>
        <w:pStyle w:val="Heading3"/>
      </w:pPr>
      <w:r>
        <w:t xml:space="preserve">Aging Trend Analysis (2024)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 Avg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32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Trend Observations:</w:t>
      </w:r>
      <w:r>
        <w:t xml:space="preserve"> </w:t>
      </w:r>
      <w:r>
        <w:t xml:space="preserve">- Overall aging improved throughout 2024 (DPO: 38→32 days)</w:t>
      </w:r>
      <w:r>
        <w:t xml:space="preserve"> </w:t>
      </w:r>
      <w:r>
        <w:t xml:space="preserve">- Q2-Q3 saw peak efficiency (DPO 34-35 days)</w:t>
      </w:r>
      <w:r>
        <w:t xml:space="preserve"> </w:t>
      </w:r>
      <w:r>
        <w:t xml:space="preserve">- Q4 slight increase due to seasonal vendor invoicing</w:t>
      </w:r>
      <w:r>
        <w:t xml:space="preserve"> </w:t>
      </w:r>
      <w:r>
        <w:t xml:space="preserve">- 90+ day overdue reduced from 4% to 2% (improved collections)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ayment-performance-analysis"/>
    <w:p>
      <w:pPr>
        <w:pStyle w:val="Heading2"/>
      </w:pPr>
      <w:r>
        <w:t xml:space="preserve">PAYMENT PERFORMANCE ANALYSIS</w:t>
      </w:r>
    </w:p>
    <w:bookmarkStart w:id="42" w:name="on-time-payment-rate-by-vendor-category"/>
    <w:p>
      <w:pPr>
        <w:pStyle w:val="Heading3"/>
      </w:pPr>
      <w:r>
        <w:t xml:space="preserve">On-Time Payment Rate by Vendor Category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7"/>
        <w:gridCol w:w="1001"/>
        <w:gridCol w:w="1638"/>
        <w:gridCol w:w="1001"/>
        <w:gridCol w:w="1547"/>
        <w:gridCol w:w="11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Payments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On-Time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Payment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Professional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 &amp;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Staffing &amp;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Facilities &amp;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39.1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Payment Quality Insights:</w:t>
      </w:r>
      <w:r>
        <w:t xml:space="preserve"> </w:t>
      </w:r>
      <w:r>
        <w:t xml:space="preserve">- Zero payment disputes in 2024 (perfect record)</w:t>
      </w:r>
      <w:r>
        <w:t xml:space="preserve"> </w:t>
      </w:r>
      <w:r>
        <w:t xml:space="preserve">- Zero payment rejections (invoices accurate and timely)</w:t>
      </w:r>
      <w:r>
        <w:t xml:space="preserve"> </w:t>
      </w:r>
      <w:r>
        <w:t xml:space="preserve">- 94% on-time rate exceeds target of 90%</w:t>
      </w:r>
      <w:r>
        <w:t xml:space="preserve"> </w:t>
      </w:r>
      <w:r>
        <w:t xml:space="preserve">- Average payment delay of 4.1 days vs. stated terms of 39 days is excellent</w:t>
      </w:r>
    </w:p>
    <w:bookmarkEnd w:id="42"/>
    <w:bookmarkStart w:id="43" w:name="top-performing-vendors-quality-metrics"/>
    <w:p>
      <w:pPr>
        <w:pStyle w:val="Heading3"/>
      </w:pPr>
      <w:r>
        <w:t xml:space="preserve">Top Performing Vendors (Quality Metrics)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05"/>
        <w:gridCol w:w="1073"/>
        <w:gridCol w:w="1476"/>
        <w:gridCol w:w="1476"/>
        <w:gridCol w:w="1476"/>
        <w:gridCol w:w="16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On-Time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Facilities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&amp;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24-48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vendor-risk-ratings"/>
    <w:p>
      <w:pPr>
        <w:pStyle w:val="Heading2"/>
      </w:pPr>
      <w:r>
        <w:t xml:space="preserve">VENDOR RISK RATINGS</w:t>
      </w:r>
    </w:p>
    <w:bookmarkStart w:id="45" w:name="comprehensive-vendor-risk-assessment"/>
    <w:p>
      <w:pPr>
        <w:pStyle w:val="Heading3"/>
      </w:pPr>
      <w:r>
        <w:t xml:space="preserve">Comprehensive Vendor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70"/>
        <w:gridCol w:w="1350"/>
        <w:gridCol w:w="1530"/>
        <w:gridCol w:w="1620"/>
        <w:gridCol w:w="135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concentration; no viable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redundancy; 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Deloitte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Stable, long-term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value delivery; some timeline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HireRight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on single industry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Large, stable vendor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company; highly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service; consolidation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vendor; no service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Grant Thornton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advisory firm</w:t>
            </w:r>
          </w:p>
        </w:tc>
      </w:tr>
    </w:tbl>
    <w:bookmarkEnd w:id="45"/>
    <w:bookmarkStart w:id="46" w:name="risk-categories-explained"/>
    <w:p>
      <w:pPr>
        <w:pStyle w:val="Heading3"/>
      </w:pPr>
      <w:r>
        <w:t xml:space="preserve">Risk Categories Explained</w:t>
      </w:r>
    </w:p>
    <w:p>
      <w:pPr>
        <w:pStyle w:val="FirstParagraph"/>
      </w:pPr>
      <w:r>
        <w:rPr>
          <w:b/>
          <w:bCs/>
        </w:rPr>
        <w:t xml:space="preserve">Financial Risk:</w:t>
      </w:r>
      <w:r>
        <w:t xml:space="preserve"> </w:t>
      </w:r>
      <w:r>
        <w:t xml:space="preserve">Vendor’s ability to fulfill contract obligations without financial stress</w:t>
      </w:r>
      <w:r>
        <w:t xml:space="preserve"> </w:t>
      </w:r>
      <w:r>
        <w:t xml:space="preserve">- Low: Large, stable company with strong financials</w:t>
      </w:r>
      <w:r>
        <w:t xml:space="preserve"> </w:t>
      </w:r>
      <w:r>
        <w:t xml:space="preserve">- Medium: Mid-size firm with adequate reserves</w:t>
      </w:r>
      <w:r>
        <w:t xml:space="preserve"> </w:t>
      </w:r>
      <w:r>
        <w:t xml:space="preserve">- High: Startup or financially stressed vendor</w:t>
      </w:r>
    </w:p>
    <w:p>
      <w:pPr>
        <w:pStyle w:val="BodyText"/>
      </w:pPr>
      <w:r>
        <w:rPr>
          <w:b/>
          <w:bCs/>
        </w:rPr>
        <w:t xml:space="preserve">Operational Risk:</w:t>
      </w:r>
      <w:r>
        <w:t xml:space="preserve"> </w:t>
      </w:r>
      <w:r>
        <w:t xml:space="preserve">Vendor’s ability to deliver consistent quality and meet SLAs</w:t>
      </w:r>
      <w:r>
        <w:t xml:space="preserve"> </w:t>
      </w:r>
      <w:r>
        <w:t xml:space="preserve">- Low: Excellent track record, redundant systems</w:t>
      </w:r>
      <w:r>
        <w:t xml:space="preserve"> </w:t>
      </w:r>
      <w:r>
        <w:t xml:space="preserve">- Medium: Good track record with occasional issues</w:t>
      </w:r>
      <w:r>
        <w:t xml:space="preserve"> </w:t>
      </w:r>
      <w:r>
        <w:t xml:space="preserve">- High: Frequent delays or quality problems</w:t>
      </w:r>
    </w:p>
    <w:p>
      <w:pPr>
        <w:pStyle w:val="BodyText"/>
      </w:pPr>
      <w:r>
        <w:rPr>
          <w:b/>
          <w:bCs/>
        </w:rPr>
        <w:t xml:space="preserve">Relationship Risk:</w:t>
      </w:r>
      <w:r>
        <w:t xml:space="preserve"> </w:t>
      </w:r>
      <w:r>
        <w:t xml:space="preserve">Dependency on vendor; availability of alternatives</w:t>
      </w:r>
      <w:r>
        <w:t xml:space="preserve"> </w:t>
      </w:r>
      <w:r>
        <w:t xml:space="preserve">- Low: Multiple vendor options available</w:t>
      </w:r>
      <w:r>
        <w:t xml:space="preserve"> </w:t>
      </w:r>
      <w:r>
        <w:t xml:space="preserve">- Medium: Limited alternatives (2-3 vendors)</w:t>
      </w:r>
      <w:r>
        <w:t xml:space="preserve"> </w:t>
      </w:r>
      <w:r>
        <w:t xml:space="preserve">- High: Sole source or highly specialized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vendor-payment-terms-optimization"/>
    <w:p>
      <w:pPr>
        <w:pStyle w:val="Heading2"/>
      </w:pPr>
      <w:r>
        <w:t xml:space="preserve">VENDOR PAYMENT TERMS OPTIMIZATION</w:t>
      </w:r>
    </w:p>
    <w:bookmarkStart w:id="48" w:name="current-payment-terms-by-vendor"/>
    <w:p>
      <w:pPr>
        <w:pStyle w:val="Heading3"/>
      </w:pPr>
      <w:r>
        <w:t xml:space="preserve">Current Payment Terms by Vendor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1732"/>
        <w:gridCol w:w="1856"/>
        <w:gridCol w:w="2351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₹300L+ cash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2025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₹150L+ cash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Deloitte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annual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₹40L+ cash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priority (long-term partner)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₹200L+ cash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HireRight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₹25L+ cash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(30-60)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60+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₹100L+ total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Working Capital Benefit Analysis:</w:t>
      </w:r>
      <w:r>
        <w:t xml:space="preserve"> </w:t>
      </w:r>
      <w:r>
        <w:t xml:space="preserve">- Current Average DPO: 32 days (lower than target)</w:t>
      </w:r>
      <w:r>
        <w:t xml:space="preserve"> </w:t>
      </w:r>
      <w:r>
        <w:t xml:space="preserve">- Target DPO: 40 days (industry benchmark for FinTech)</w:t>
      </w:r>
      <w:r>
        <w:t xml:space="preserve"> </w:t>
      </w:r>
      <w:r>
        <w:t xml:space="preserve">- Potential Cash Release: ₹200+ Crore by extending DPO by 8 days</w:t>
      </w:r>
      <w:r>
        <w:t xml:space="preserve"> </w:t>
      </w:r>
      <w:r>
        <w:t xml:space="preserve">- 2025 Target: Achieve 40-day DPO without damaging vendor relationships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ayment-processing-metrics"/>
    <w:p>
      <w:pPr>
        <w:pStyle w:val="Heading2"/>
      </w:pPr>
      <w:r>
        <w:t xml:space="preserve">PAYMENT PROCESSING METRICS</w:t>
      </w:r>
    </w:p>
    <w:bookmarkStart w:id="50" w:name="invoice-processing-performance"/>
    <w:p>
      <w:pPr>
        <w:pStyle w:val="Heading3"/>
      </w:pPr>
      <w:r>
        <w:t xml:space="preserve">Invoice Processing Performance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188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Invoice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Invoices Processed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First-Pass Approval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Corrections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Processing 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Processing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₹320/invoice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₹380/invoice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Improving</w:t>
            </w:r>
          </w:p>
        </w:tc>
      </w:tr>
    </w:tbl>
    <w:bookmarkEnd w:id="50"/>
    <w:bookmarkStart w:id="51" w:name="automation-implementation"/>
    <w:p>
      <w:pPr>
        <w:pStyle w:val="Heading3"/>
      </w:pPr>
      <w:r>
        <w:t xml:space="preserve">Automation Implementation</w:t>
      </w:r>
    </w:p>
    <w:p>
      <w:pPr>
        <w:pStyle w:val="FirstParagraph"/>
      </w:pPr>
      <w:r>
        <w:rPr>
          <w:b/>
          <w:bCs/>
        </w:rPr>
        <w:t xml:space="preserve">RPA Implementation (2024):</w:t>
      </w:r>
      <w:r>
        <w:t xml:space="preserve"> </w:t>
      </w:r>
      <w:r>
        <w:t xml:space="preserve">- Three-way matching automation: 85% of invoices</w:t>
      </w:r>
      <w:r>
        <w:t xml:space="preserve"> </w:t>
      </w:r>
      <w:r>
        <w:t xml:space="preserve">- Vendor master data validation: 100% automated</w:t>
      </w:r>
      <w:r>
        <w:t xml:space="preserve"> </w:t>
      </w:r>
      <w:r>
        <w:t xml:space="preserve">- Payment approval workflow: 92% automated</w:t>
      </w:r>
      <w:r>
        <w:t xml:space="preserve"> </w:t>
      </w:r>
      <w:r>
        <w:t xml:space="preserve">- Benefits: 2.2 FTE reduction, ₹15L annual savings</w:t>
      </w:r>
    </w:p>
    <w:p>
      <w:pPr>
        <w:pStyle w:val="BodyText"/>
      </w:pPr>
      <w:r>
        <w:rPr>
          <w:b/>
          <w:bCs/>
        </w:rPr>
        <w:t xml:space="preserve">2025 Automation Plan:</w:t>
      </w:r>
      <w:r>
        <w:t xml:space="preserve"> </w:t>
      </w:r>
      <w:r>
        <w:t xml:space="preserve">- Extend RPA to supplier master management</w:t>
      </w:r>
      <w:r>
        <w:t xml:space="preserve"> </w:t>
      </w:r>
      <w:r>
        <w:t xml:space="preserve">- Implement AI for invoice categorization</w:t>
      </w:r>
      <w:r>
        <w:t xml:space="preserve"> </w:t>
      </w:r>
      <w:r>
        <w:t xml:space="preserve">- Add predictive analytics for payment optimization</w:t>
      </w:r>
      <w:r>
        <w:t xml:space="preserve"> </w:t>
      </w:r>
      <w:r>
        <w:t xml:space="preserve">- Target: 95% automated processing, ₹8-10L additional savings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ayment-processing-flow-controls"/>
    <w:p>
      <w:pPr>
        <w:pStyle w:val="Heading2"/>
      </w:pPr>
      <w:r>
        <w:t xml:space="preserve">PAYMENT PROCESSING FLOW &amp; CONTROLS</w:t>
      </w:r>
    </w:p>
    <w:bookmarkStart w:id="53" w:name="invoice-to-pay-process"/>
    <w:p>
      <w:pPr>
        <w:pStyle w:val="Heading3"/>
      </w:pPr>
      <w:r>
        <w:t xml:space="preserve">Invoice-to-Pay Process</w:t>
      </w:r>
    </w:p>
    <w:p>
      <w:pPr>
        <w:pStyle w:val="SourceCode"/>
      </w:pPr>
      <w:r>
        <w:rPr>
          <w:rStyle w:val="VerbatimChar"/>
        </w:rPr>
        <w:t xml:space="preserve">1. Invoice Receipt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Vendor Master Validation (Automated)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PO Matching (3-way: PO, Receipt, Invoice)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Amount Verification &amp; Budget Check (Automated)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Approval Workflow (Hierarchical)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Payment 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Reconciliation to GL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Vendor Reporting &amp; Analytics</w:t>
      </w:r>
    </w:p>
    <w:bookmarkEnd w:id="53"/>
    <w:bookmarkStart w:id="54" w:name="internal-controls"/>
    <w:p>
      <w:pPr>
        <w:pStyle w:val="Heading3"/>
      </w:pPr>
      <w:r>
        <w:t xml:space="preserve">Internal Controls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Master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Approval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Payment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Variance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Detection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payment-methods-cash-management"/>
    <w:p>
      <w:pPr>
        <w:pStyle w:val="Heading2"/>
      </w:pPr>
      <w:r>
        <w:t xml:space="preserve">PAYMENT METHODS &amp; CASH MANAGEMENT</w:t>
      </w:r>
    </w:p>
    <w:bookmarkStart w:id="56" w:name="payment-methods-distribution"/>
    <w:p>
      <w:pPr>
        <w:pStyle w:val="Heading3"/>
      </w:pPr>
      <w:r>
        <w:t xml:space="preserve">Payment Methods Distribution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04"/>
        <w:gridCol w:w="1503"/>
        <w:gridCol w:w="1804"/>
        <w:gridCol w:w="1102"/>
        <w:gridCol w:w="19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Payment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Amount (₹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Processing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Transfer (NEFT/RTGS)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Payment Method Strategy:</w:t>
      </w:r>
      <w:r>
        <w:t xml:space="preserve"> </w:t>
      </w:r>
      <w:r>
        <w:t xml:space="preserve">- NEFT/RTGS preferred (96.6% usage) for control and tracking</w:t>
      </w:r>
      <w:r>
        <w:t xml:space="preserve"> </w:t>
      </w:r>
      <w:r>
        <w:t xml:space="preserve">- Checks maintained for specific vendors requiring them</w:t>
      </w:r>
      <w:r>
        <w:t xml:space="preserve"> </w:t>
      </w:r>
      <w:r>
        <w:t xml:space="preserve">- Credit cards used for small, recurring expenses (⚠ risk control area)</w:t>
      </w:r>
      <w:r>
        <w:t xml:space="preserve"> </w:t>
      </w:r>
      <w:r>
        <w:t xml:space="preserve">- Cash eliminated except for petty expenses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22e934fc7bb88d0cc114cb0472e3cbca62b683e"/>
    <w:p>
      <w:pPr>
        <w:pStyle w:val="Heading2"/>
      </w:pPr>
      <w:r>
        <w:t xml:space="preserve">VENDOR COMMUNICATION &amp; RELATIONSHIP MANAGEMENT</w:t>
      </w:r>
    </w:p>
    <w:bookmarkStart w:id="58" w:name="regular-vendor-communication-schedule"/>
    <w:p>
      <w:pPr>
        <w:pStyle w:val="Heading3"/>
      </w:pPr>
      <w:r>
        <w:t xml:space="preserve">Regular Vendor Communication Schedule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2851"/>
        <w:gridCol w:w="1267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Strategic Vendors (Top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review, contract optimization,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Finance, Category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Vendors (6-10)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metrics, issues,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Manager, Category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Mid-Tier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review, contract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issues, invoicing,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Team</w:t>
            </w:r>
          </w:p>
        </w:tc>
      </w:tr>
    </w:tbl>
    <w:bookmarkEnd w:id="58"/>
    <w:bookmarkStart w:id="59" w:name="vendor-communication-results"/>
    <w:p>
      <w:pPr>
        <w:pStyle w:val="Heading3"/>
      </w:pPr>
      <w:r>
        <w:t xml:space="preserve">2024 Vendor Communication Results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Quarterly Reviews Completed:</w:t>
      </w:r>
      <w:r>
        <w:t xml:space="preserve"> </w:t>
      </w:r>
      <w:r>
        <w:t xml:space="preserve">5 strategic vendors (100%)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Performance Issues Escalated:</w:t>
      </w:r>
      <w:r>
        <w:t xml:space="preserve"> </w:t>
      </w:r>
      <w:r>
        <w:t xml:space="preserve">2 instances (Wipro delays, Oracle licensing)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Disputes Resolved:</w:t>
      </w:r>
      <w:r>
        <w:t xml:space="preserve"> </w:t>
      </w:r>
      <w:r>
        <w:t xml:space="preserve">0 (100% resolution rate)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Vendor Satisfaction Survey:</w:t>
      </w:r>
      <w:r>
        <w:t xml:space="preserve"> </w:t>
      </w:r>
      <w:r>
        <w:t xml:space="preserve">8.4/10 average score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Relationship Improvements:</w:t>
      </w:r>
      <w:r>
        <w:t xml:space="preserve"> </w:t>
      </w:r>
      <w:r>
        <w:t xml:space="preserve">3 renegotiated contracts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compliance-audit"/>
    <w:p>
      <w:pPr>
        <w:pStyle w:val="Heading2"/>
      </w:pPr>
      <w:r>
        <w:t xml:space="preserve">COMPLIANCE &amp; AUDIT</w:t>
      </w:r>
    </w:p>
    <w:bookmarkStart w:id="61" w:name="regulatory-compliance-status"/>
    <w:p>
      <w:pPr>
        <w:pStyle w:val="Heading3"/>
      </w:pPr>
      <w:r>
        <w:t xml:space="preserve">Regulatory Compliance Status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78"/>
        <w:gridCol w:w="1584"/>
        <w:gridCol w:w="1980"/>
        <w:gridCol w:w="21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invoices matched to GST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TDS certificates received for 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Master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vendors verified against Aadhaar/PAN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contracts archived and indexed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FCRA Compliance (International)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vendor authorizations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 (GDPR)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data protection agreements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</w:tbl>
    <w:bookmarkEnd w:id="61"/>
    <w:bookmarkStart w:id="62" w:name="internal-audit-findings-2024"/>
    <w:p>
      <w:pPr>
        <w:pStyle w:val="Heading3"/>
      </w:pPr>
      <w:r>
        <w:t xml:space="preserve">Internal Audit Findings (2024)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16"/>
        <w:gridCol w:w="1685"/>
        <w:gridCol w:w="1685"/>
        <w:gridCol w:w="3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payment to 1 vendor (3 instances)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(process tightened)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vendor master entries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(consolidation)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invoice documentation (1%)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(process updated)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Summary: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 Critical, 3 Low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5" w:name="future-vendor-strategy-2025-2026"/>
    <w:p>
      <w:pPr>
        <w:pStyle w:val="Heading2"/>
      </w:pPr>
      <w:r>
        <w:t xml:space="preserve">FUTURE VENDOR STRATEGY (2025-2026)</w:t>
      </w:r>
    </w:p>
    <w:bookmarkStart w:id="64" w:name="vendor-base-optimization"/>
    <w:p>
      <w:pPr>
        <w:pStyle w:val="Heading3"/>
      </w:pPr>
      <w:r>
        <w:t xml:space="preserve">Vendor Base Optimization</w:t>
      </w:r>
    </w:p>
    <w:p>
      <w:pPr>
        <w:pStyle w:val="FirstParagraph"/>
      </w:pPr>
      <w:r>
        <w:rPr>
          <w:b/>
          <w:bCs/>
        </w:rPr>
        <w:t xml:space="preserve">Current State (2024):</w:t>
      </w:r>
      <w:r>
        <w:t xml:space="preserve"> </w:t>
      </w:r>
      <w:r>
        <w:t xml:space="preserve">- 28 active vendors</w:t>
      </w:r>
      <w:r>
        <w:t xml:space="preserve"> </w:t>
      </w:r>
      <w:r>
        <w:t xml:space="preserve">- Top 10 vendors = 92.5% of spend</w:t>
      </w:r>
      <w:r>
        <w:t xml:space="preserve"> </w:t>
      </w:r>
      <w:r>
        <w:t xml:space="preserve">- High concentration in cloud (66% of spend)</w:t>
      </w:r>
    </w:p>
    <w:p>
      <w:pPr>
        <w:pStyle w:val="BodyText"/>
      </w:pPr>
      <w:r>
        <w:rPr>
          <w:b/>
          <w:bCs/>
        </w:rPr>
        <w:t xml:space="preserve">2025-2026 Goals: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Vendor Diversification</w:t>
      </w:r>
    </w:p>
    <w:p>
      <w:pPr>
        <w:pStyle w:val="Compact"/>
        <w:numPr>
          <w:ilvl w:val="1"/>
          <w:numId w:val="1008"/>
        </w:numPr>
      </w:pPr>
      <w:r>
        <w:t xml:space="preserve">Add 2-3 new cloud/infrastructure vendors</w:t>
      </w:r>
    </w:p>
    <w:p>
      <w:pPr>
        <w:pStyle w:val="Compact"/>
        <w:numPr>
          <w:ilvl w:val="1"/>
          <w:numId w:val="1008"/>
        </w:numPr>
      </w:pPr>
      <w:r>
        <w:t xml:space="preserve">Reduce AWS concentration from 43% to 35%</w:t>
      </w:r>
    </w:p>
    <w:p>
      <w:pPr>
        <w:pStyle w:val="Compact"/>
        <w:numPr>
          <w:ilvl w:val="1"/>
          <w:numId w:val="1008"/>
        </w:numPr>
      </w:pPr>
      <w:r>
        <w:t xml:space="preserve">Build Azure capability to 45% of cloud spend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Cost Optimization</w:t>
      </w:r>
    </w:p>
    <w:p>
      <w:pPr>
        <w:pStyle w:val="Compact"/>
        <w:numPr>
          <w:ilvl w:val="1"/>
          <w:numId w:val="1009"/>
        </w:numPr>
      </w:pPr>
      <w:r>
        <w:t xml:space="preserve">Target ₹10-12 Crore in vendor savings through renegotiation</w:t>
      </w:r>
    </w:p>
    <w:p>
      <w:pPr>
        <w:pStyle w:val="Compact"/>
        <w:numPr>
          <w:ilvl w:val="1"/>
          <w:numId w:val="1009"/>
        </w:numPr>
      </w:pPr>
      <w:r>
        <w:t xml:space="preserve">Implement fixed-price contracts for variable services</w:t>
      </w:r>
    </w:p>
    <w:p>
      <w:pPr>
        <w:pStyle w:val="Compact"/>
        <w:numPr>
          <w:ilvl w:val="1"/>
          <w:numId w:val="1009"/>
        </w:numPr>
      </w:pPr>
      <w:r>
        <w:t xml:space="preserve">Leverage volume for better pricing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Process Improvement</w:t>
      </w:r>
    </w:p>
    <w:p>
      <w:pPr>
        <w:pStyle w:val="Compact"/>
        <w:numPr>
          <w:ilvl w:val="1"/>
          <w:numId w:val="1010"/>
        </w:numPr>
      </w:pPr>
      <w:r>
        <w:t xml:space="preserve">Achieve 98% on-time payment rate</w:t>
      </w:r>
    </w:p>
    <w:p>
      <w:pPr>
        <w:pStyle w:val="Compact"/>
        <w:numPr>
          <w:ilvl w:val="1"/>
          <w:numId w:val="1010"/>
        </w:numPr>
      </w:pPr>
      <w:r>
        <w:t xml:space="preserve">Reduce invoice processing time to 4 days</w:t>
      </w:r>
    </w:p>
    <w:p>
      <w:pPr>
        <w:pStyle w:val="Compact"/>
        <w:numPr>
          <w:ilvl w:val="1"/>
          <w:numId w:val="1010"/>
        </w:numPr>
      </w:pPr>
      <w:r>
        <w:t xml:space="preserve">Automate 95% of invoice processing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Strategic Partnerships</w:t>
      </w:r>
    </w:p>
    <w:p>
      <w:pPr>
        <w:pStyle w:val="Compact"/>
        <w:numPr>
          <w:ilvl w:val="1"/>
          <w:numId w:val="1011"/>
        </w:numPr>
      </w:pPr>
      <w:r>
        <w:t xml:space="preserve">Develop 3-5 year partnerships with key vendors</w:t>
      </w:r>
    </w:p>
    <w:p>
      <w:pPr>
        <w:pStyle w:val="Compact"/>
        <w:numPr>
          <w:ilvl w:val="1"/>
          <w:numId w:val="1011"/>
        </w:numPr>
      </w:pPr>
      <w:r>
        <w:t xml:space="preserve">Implement vendor performance scorecards</w:t>
      </w:r>
    </w:p>
    <w:p>
      <w:pPr>
        <w:pStyle w:val="Compact"/>
        <w:numPr>
          <w:ilvl w:val="1"/>
          <w:numId w:val="1011"/>
        </w:numPr>
      </w:pPr>
      <w:r>
        <w:t xml:space="preserve">Quarterly executive reviews with strategic vendors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key-recommendations"/>
    <w:p>
      <w:pPr>
        <w:pStyle w:val="Heading2"/>
      </w:pPr>
      <w:r>
        <w:t xml:space="preserve">KEY RECOMMENDATIONS</w:t>
      </w:r>
    </w:p>
    <w:bookmarkStart w:id="66" w:name="immediate-actions-q1-2025"/>
    <w:p>
      <w:pPr>
        <w:pStyle w:val="Heading3"/>
      </w:pPr>
      <w:r>
        <w:t xml:space="preserve">Immediate Actions (Q1 2025)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AWS Contract Renegotiation</w:t>
      </w:r>
      <w:r>
        <w:t xml:space="preserve"> </w:t>
      </w:r>
      <w:r>
        <w:t xml:space="preserve">- Savings target: ₹800-1000L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Implement COGS Categorization</w:t>
      </w:r>
      <w:r>
        <w:t xml:space="preserve"> </w:t>
      </w:r>
      <w:r>
        <w:t xml:space="preserve">- Better allocation to P&amp;L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Extend DPO Targets</w:t>
      </w:r>
      <w:r>
        <w:t xml:space="preserve"> </w:t>
      </w:r>
      <w:r>
        <w:t xml:space="preserve">- Negotiate 45-60 day terms with top vendors</w:t>
      </w:r>
    </w:p>
    <w:bookmarkEnd w:id="66"/>
    <w:bookmarkStart w:id="67" w:name="medium-term-2025"/>
    <w:p>
      <w:pPr>
        <w:pStyle w:val="Heading3"/>
      </w:pPr>
      <w:r>
        <w:t xml:space="preserve">Medium-Term (2025)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Azure Expansion</w:t>
      </w:r>
      <w:r>
        <w:t xml:space="preserve"> </w:t>
      </w:r>
      <w:r>
        <w:t xml:space="preserve">- Increase to 45% of cloud spend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RPA Scaling</w:t>
      </w:r>
      <w:r>
        <w:t xml:space="preserve"> </w:t>
      </w:r>
      <w:r>
        <w:t xml:space="preserve">- Automate AP by 95%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Vendor Scorecard Implementation</w:t>
      </w:r>
      <w:r>
        <w:t xml:space="preserve"> </w:t>
      </w:r>
      <w:r>
        <w:t xml:space="preserve">- Quarterly performance tracking</w:t>
      </w:r>
    </w:p>
    <w:bookmarkEnd w:id="67"/>
    <w:bookmarkStart w:id="68" w:name="strategic-2025-2026"/>
    <w:p>
      <w:pPr>
        <w:pStyle w:val="Heading3"/>
      </w:pPr>
      <w:r>
        <w:t xml:space="preserve">Strategic (2025-2026)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Vendor Consolidation</w:t>
      </w:r>
      <w:r>
        <w:t xml:space="preserve"> </w:t>
      </w:r>
      <w:r>
        <w:t xml:space="preserve">- Reduce to 20 vendors, better relationships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Shared Services</w:t>
      </w:r>
      <w:r>
        <w:t xml:space="preserve"> </w:t>
      </w:r>
      <w:r>
        <w:t xml:space="preserve">- Consider shared services with partner companies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Strategic Sourcing</w:t>
      </w:r>
      <w:r>
        <w:t xml:space="preserve"> </w:t>
      </w:r>
      <w:r>
        <w:t xml:space="preserve">- Implement formal procurement processes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i/>
          <w:iCs/>
        </w:rPr>
        <w:t xml:space="preserve">This vendor payment summary is confidential and prepared for internal stakeholders. External distribution requires CFO approval.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2026-03-24T06:47:23Z</dcterms:created>
  <dcterms:modified xsi:type="dcterms:W3CDTF">2026-03-24T06:47:23Z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