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b14c8e21371a99da866861a2679d7f9c006f11d"/>
    <w:p>
      <w:pPr>
        <w:pStyle w:val="Heading1"/>
      </w:pPr>
      <w:r>
        <w:t xml:space="preserve">Customer Acquisition &amp; Retention Report - 2024</w:t>
      </w:r>
    </w:p>
    <w:bookmarkStart w:id="20" w:name="finsolve-technologies"/>
    <w:p>
      <w:pPr>
        <w:pStyle w:val="Heading2"/>
      </w:pPr>
      <w:r>
        <w:t xml:space="preserve">FinSolve Technologies</w:t>
      </w:r>
    </w:p>
    <w:p>
      <w:pPr>
        <w:pStyle w:val="FirstParagraph"/>
      </w:pPr>
      <w:r>
        <w:rPr>
          <w:b/>
          <w:bCs/>
        </w:rPr>
        <w:t xml:space="preserve">Report Type:</w:t>
      </w:r>
      <w:r>
        <w:t xml:space="preserve"> </w:t>
      </w:r>
      <w:r>
        <w:t xml:space="preserve">Customer-Level Analysis</w:t>
      </w:r>
      <w:r>
        <w:t xml:space="preserve"> </w:t>
      </w:r>
      <w:r>
        <w:rPr>
          <w:b/>
          <w:bCs/>
        </w:rPr>
        <w:t xml:space="preserve">Reporting Period:</w:t>
      </w:r>
      <w:r>
        <w:t xml:space="preserve"> </w:t>
      </w:r>
      <w:r>
        <w:t xml:space="preserve">January 1 - December 31, 2024</w:t>
      </w:r>
      <w:r>
        <w:t xml:space="preserve"> </w:t>
      </w:r>
      <w:r>
        <w:rPr>
          <w:b/>
          <w:bCs/>
        </w:rPr>
        <w:t xml:space="preserve">Currency:</w:t>
      </w:r>
      <w:r>
        <w:t xml:space="preserve"> </w:t>
      </w:r>
      <w:r>
        <w:t xml:space="preserve">INR (Indian Rupees)</w:t>
      </w:r>
      <w:r>
        <w:t xml:space="preserve"> </w:t>
      </w:r>
      <w:r>
        <w:rPr>
          <w:b/>
          <w:bCs/>
        </w:rPr>
        <w:t xml:space="preserve">Company:</w:t>
      </w:r>
      <w:r>
        <w:t xml:space="preserve"> </w:t>
      </w:r>
      <w:r>
        <w:t xml:space="preserve">FinSolve Technologies |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India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overview"/>
    <w:p>
      <w:pPr>
        <w:pStyle w:val="Heading2"/>
      </w:pPr>
      <w:r>
        <w:t xml:space="preserve">Executive Overview</w:t>
      </w:r>
    </w:p>
    <w:p>
      <w:pPr>
        <w:pStyle w:val="FirstParagraph"/>
      </w:pPr>
      <w:r>
        <w:t xml:space="preserve">This report provides comprehensive customer acquisition and retention analysis for FinSolve Technologies during 2024. Data includes monthly acquisition volumes, channel-level acquisition details, cohort retention analysis, customer lifetime value calculations, and churn analysis by customer segment and geography.</w:t>
      </w:r>
    </w:p>
    <w:p>
      <w:pPr>
        <w:pStyle w:val="BodyText"/>
      </w:pPr>
      <w:r>
        <w:rPr>
          <w:b/>
          <w:bCs/>
        </w:rPr>
        <w:t xml:space="preserve">2024 Summary:</w:t>
      </w:r>
      <w:r>
        <w:t xml:space="preserve"> </w:t>
      </w:r>
      <w:r>
        <w:t xml:space="preserve">- Total New Customers Acquired: 685,100</w:t>
      </w:r>
      <w:r>
        <w:t xml:space="preserve"> </w:t>
      </w:r>
      <w:r>
        <w:t xml:space="preserve">- Acquisition by Channel: Digital Ads (33.8%), Email/Loyalty (6.8%), Influencers (4.1%), B2B Direct (0.6%), Other (54.7%)</w:t>
      </w:r>
      <w:r>
        <w:t xml:space="preserve"> </w:t>
      </w:r>
      <w:r>
        <w:t xml:space="preserve">- Retention Rate (12-month): 84.3% (up from 79.8% in 2023)</w:t>
      </w:r>
      <w:r>
        <w:t xml:space="preserve"> </w:t>
      </w:r>
      <w:r>
        <w:t xml:space="preserve">- Churn Rate: 9.7% annual (down from 12.1% in 2023)</w:t>
      </w:r>
      <w:r>
        <w:t xml:space="preserve"> </w:t>
      </w:r>
      <w:r>
        <w:t xml:space="preserve">- Average Customer Lifetime Value: ₹3,205 (INR)</w:t>
      </w:r>
      <w:r>
        <w:t xml:space="preserve"> </w:t>
      </w:r>
      <w:r>
        <w:t xml:space="preserve">- LTV:CAC Ratio: 1:6.1 (improved from 1:5.2 in 2023)</w:t>
      </w:r>
    </w:p>
    <w:p>
      <w:r>
        <w:pict>
          <v:rect style="width:0;height:1.5pt" o:hralign="center" o:hrstd="t" o:hr="t"/>
        </w:pict>
      </w:r>
    </w:p>
    <w:bookmarkEnd w:id="21"/>
    <w:bookmarkStart w:id="22" w:name="monthly-customer-acquisition-2024"/>
    <w:p>
      <w:pPr>
        <w:pStyle w:val="Heading2"/>
      </w:pPr>
      <w:r>
        <w:t xml:space="preserve">Monthly Customer Acquisition (2024)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Mix (Top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(₹L)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42%, Email 15%, Influencer 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38%, Email 18%, Other 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45%, Content 12%, Email 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48%, B2B 8%, Influencer 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52%, Email 9%, Video 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44%, Influencer 12%, Email 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369,700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46%, Loyalty 14%, Email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50%, Video 11%, Loyalty 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486,600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42%, Influencer 13%, Video 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54%, Email 12%, Video 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618,100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58%, Email 14%, Video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50%, Email 16%, Video 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YTD 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57,092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685,100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Digital 47.5%, Email 12.1%, Video 8.3%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1,812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23.2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Insights:</w:t>
      </w:r>
      <w:r>
        <w:t xml:space="preserve"> </w:t>
      </w:r>
      <w:r>
        <w:t xml:space="preserve">- Peak acquisition months: November (69,400), August (61,200), October (62,100)</w:t>
      </w:r>
      <w:r>
        <w:t xml:space="preserve"> </w:t>
      </w:r>
      <w:r>
        <w:t xml:space="preserve">- Lowest acquisition: March (48,000), June (51,800)</w:t>
      </w:r>
      <w:r>
        <w:t xml:space="preserve"> </w:t>
      </w:r>
      <w:r>
        <w:t xml:space="preserve">- Q1 seasonal low; Q2-Q3 steady growth; Q4 holiday surge</w:t>
      </w:r>
      <w:r>
        <w:t xml:space="preserve"> </w:t>
      </w:r>
      <w:r>
        <w:t xml:space="preserve">- CAC variation ₹1,640-₹2,045 (25% range) driven by channel mix and seasonal intensity</w:t>
      </w:r>
      <w:r>
        <w:t xml:space="preserve"> </w:t>
      </w:r>
      <w:r>
        <w:t xml:space="preserve">- Monthly revenue highly correlated with customer acquisition volume</w:t>
      </w:r>
    </w:p>
    <w:p>
      <w:r>
        <w:pict>
          <v:rect style="width:0;height:1.5pt" o:hralign="center" o:hrstd="t" o:hr="t"/>
        </w:pict>
      </w:r>
    </w:p>
    <w:bookmarkEnd w:id="22"/>
    <w:bookmarkStart w:id="24" w:name="Xa5fc3b1e298f4bf794584ed86410804513f12e3"/>
    <w:p>
      <w:pPr>
        <w:pStyle w:val="Heading2"/>
      </w:pPr>
      <w:r>
        <w:t xml:space="preserve">Customer Acquisition by Channel (Full Year 2024)</w:t>
      </w:r>
    </w:p>
    <w:bookmarkStart w:id="23" w:name="detailed-channel-analysis"/>
    <w:p>
      <w:pPr>
        <w:pStyle w:val="Heading3"/>
      </w:pPr>
      <w:r>
        <w:t xml:space="preserve">Detailed Channel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CAC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(₹L)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Customer Value (₹)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Ads (Google, Facebook, LinkedIn)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Nov: 21,850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Marketing (Retention + Acquisition)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Nov: 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Influencer 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May: 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Content (YouTube, TikTok, Reels)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Dec: 6,200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Search (Google, Bing)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Oct: 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 &amp; Sponsorships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Q1: 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&amp; Push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Nov: 1,850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Organic 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Dec: 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B2B Direct/Partnerships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Q2: 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Marketing (Organic + 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Sep: 2,850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Nov: 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Other/Miscellaneous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Oct: 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Channel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Acquisition Driver:</w:t>
      </w:r>
      <w:r>
        <w:t xml:space="preserve"> </w:t>
      </w:r>
      <w:r>
        <w:t xml:space="preserve">Digital Ads (33.8% of customers)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Most Efficient CAC:</w:t>
      </w:r>
      <w:r>
        <w:t xml:space="preserve"> </w:t>
      </w:r>
      <w:r>
        <w:t xml:space="preserve">Referral Programs (₹292) - driven by loyalty program incentives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 Customer Value:</w:t>
      </w:r>
      <w:r>
        <w:t xml:space="preserve"> </w:t>
      </w:r>
      <w:r>
        <w:t xml:space="preserve">B2B Direct (₹667 avg customer value, 12% premium)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Emerging Strong Performer:</w:t>
      </w:r>
      <w:r>
        <w:t xml:space="preserve"> </w:t>
      </w:r>
      <w:r>
        <w:t xml:space="preserve">Video Content (8.3% of acquisitions with efficient ₹2,040 CAC)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Lowest Performance:</w:t>
      </w:r>
      <w:r>
        <w:t xml:space="preserve"> </w:t>
      </w:r>
      <w:r>
        <w:t xml:space="preserve">Events &amp; Sponsorships (1.9%, high ₹4,031 CAC)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customer-acquisition-by-geography"/>
    <w:p>
      <w:pPr>
        <w:pStyle w:val="Heading2"/>
      </w:pPr>
      <w:r>
        <w:t xml:space="preserve">Customer Acquisition by Geography</w:t>
      </w:r>
    </w:p>
    <w:bookmarkStart w:id="25" w:name="regional-acquisition-trends"/>
    <w:p>
      <w:pPr>
        <w:pStyle w:val="Heading3"/>
      </w:pPr>
      <w:r>
        <w:t xml:space="preserve">Regional Acquisition Trends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YoY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 (Core)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Malaysia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Thailand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171,300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262,800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305,600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316,100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685,100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+19.9%</w:t>
            </w:r>
          </w:p>
        </w:tc>
      </w:tr>
    </w:tbl>
    <w:p>
      <w:pPr>
        <w:pStyle w:val="BodyText"/>
      </w:pPr>
      <w:r>
        <w:rPr>
          <w:b/>
          <w:bCs/>
        </w:rPr>
        <w:t xml:space="preserve">Geographic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Market (India):</w:t>
      </w:r>
      <w:r>
        <w:t xml:space="preserve"> </w:t>
      </w:r>
      <w:r>
        <w:t xml:space="preserve">61.8% of annual acquisitions; showing maturation (Q4 lower than Q1-Q3)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European Markets:</w:t>
      </w:r>
      <w:r>
        <w:t xml:space="preserve"> </w:t>
      </w:r>
      <w:r>
        <w:t xml:space="preserve">10.5% of total acquisitions; steady Q2-Q4 after Q1 entry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Southeast Asia:</w:t>
      </w:r>
      <w:r>
        <w:t xml:space="preserve"> </w:t>
      </w:r>
      <w:r>
        <w:t xml:space="preserve">3.6% penetration in 9 months; strong growth trajectory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Latin America:</w:t>
      </w:r>
      <w:r>
        <w:t xml:space="preserve"> </w:t>
      </w:r>
      <w:r>
        <w:t xml:space="preserve">2.5% penetration but exceptional Q4 growth (43% MoM Q3-Q4)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Growth Rate Disparity:</w:t>
      </w:r>
      <w:r>
        <w:t xml:space="preserve"> </w:t>
      </w:r>
      <w:r>
        <w:t xml:space="preserve">India +17.2% vs. emerging markets growing rapidly from zero baseline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customer-cohort-retention-analysis-2024"/>
    <w:p>
      <w:pPr>
        <w:pStyle w:val="Heading2"/>
      </w:pPr>
      <w:r>
        <w:t xml:space="preserve">Customer Cohort Retention Analysis (2024)</w:t>
      </w:r>
    </w:p>
    <w:bookmarkStart w:id="27" w:name="Xf10d7a5d272e068f57f1876b0b197748a0a64d0"/>
    <w:p>
      <w:pPr>
        <w:pStyle w:val="Heading3"/>
      </w:pPr>
      <w:r>
        <w:t xml:space="preserve">Q1 2024 Cohort (Customers Acquired Jan-Mar 2024)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1-Month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3-Month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6-Month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(Monthly 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Reason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Product-market fit (feature gaps)</w:t>
            </w:r>
          </w:p>
        </w:tc>
      </w:tr>
    </w:tbl>
    <w:bookmarkEnd w:id="27"/>
    <w:bookmarkStart w:id="28" w:name="q2-2024-cohort"/>
    <w:p>
      <w:pPr>
        <w:pStyle w:val="Heading3"/>
      </w:pPr>
      <w:r>
        <w:t xml:space="preserve">Q2 2024 Cohort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(Avg)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Churn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inactivity (60+ days)</w:t>
            </w:r>
          </w:p>
        </w:tc>
      </w:tr>
    </w:tbl>
    <w:bookmarkEnd w:id="28"/>
    <w:bookmarkStart w:id="29" w:name="q3-2024-cohort"/>
    <w:p>
      <w:pPr>
        <w:pStyle w:val="Heading3"/>
      </w:pPr>
      <w:r>
        <w:t xml:space="preserve">Q3 2024 Cohort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(Avg)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</w:tr>
    </w:tbl>
    <w:bookmarkEnd w:id="29"/>
    <w:bookmarkStart w:id="30" w:name="q4-2024-cohort"/>
    <w:p>
      <w:pPr>
        <w:pStyle w:val="Heading3"/>
      </w:pPr>
      <w:r>
        <w:t xml:space="preserve">Q4 2024 Cohort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Cohort Analysis Summary: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1-Month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3-Month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6-Month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12-Month Retention (Projected)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(Projected: 84%)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(Projected: 86%)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(Projected: 87%)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(Projected: 85%)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Improvement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+1.7pp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+4.8pp annually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Dramatic improvement in early retention (1-month): 94.2% → 97.6% (+3.4pp)</w:t>
      </w:r>
      <w:r>
        <w:t xml:space="preserve"> </w:t>
      </w:r>
      <w:r>
        <w:t xml:space="preserve">- 3-month retention improving each quarter: 89.6% → 92.4% (+2.8pp)</w:t>
      </w:r>
      <w:r>
        <w:t xml:space="preserve"> </w:t>
      </w:r>
      <w:r>
        <w:t xml:space="preserve">- Loyalty program launch (Q3) coincided with retention improvement</w:t>
      </w:r>
      <w:r>
        <w:t xml:space="preserve"> </w:t>
      </w:r>
      <w:r>
        <w:t xml:space="preserve">- Q4 cohort showing best early-stage metrics; annualized projection 87% (vs. 82.3% for Q1)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ustomer-lifetime-value-clv-analysis"/>
    <w:p>
      <w:pPr>
        <w:pStyle w:val="Heading2"/>
      </w:pPr>
      <w:r>
        <w:t xml:space="preserve">Customer Lifetime Value (CLV) Analysis</w:t>
      </w:r>
    </w:p>
    <w:bookmarkStart w:id="32" w:name="ltv-by-customer-segment"/>
    <w:p>
      <w:pPr>
        <w:pStyle w:val="Heading3"/>
      </w:pPr>
      <w:r>
        <w:t xml:space="preserve">LTV by Customer Segment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Revenue/Customer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Lifetime (Months)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Rate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LTV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LTV:CAC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Consumer/Retail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SMB (1-50 emp)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(50+ emp)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Blended 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685,100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3,205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1:6.1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Segment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Most Valuable:</w:t>
      </w:r>
      <w:r>
        <w:t xml:space="preserve"> </w:t>
      </w:r>
      <w:r>
        <w:t xml:space="preserve">4.3x LTV of consumer segment; lowest churn (6.2%)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Consumer Most Numerous:</w:t>
      </w:r>
      <w:r>
        <w:t xml:space="preserve"> </w:t>
      </w:r>
      <w:r>
        <w:t xml:space="preserve">84.1% of customer base; acceptable LTV:CAC ratio (1:5.8)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SMB Sweet Spot:</w:t>
      </w:r>
      <w:r>
        <w:t xml:space="preserve"> </w:t>
      </w:r>
      <w:r>
        <w:t xml:space="preserve">Good LTV (₹5,972) but higher churn (14.2%) suggests product-market challenges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Blended LTV:</w:t>
      </w:r>
      <w:r>
        <w:t xml:space="preserve"> </w:t>
      </w:r>
      <w:r>
        <w:t xml:space="preserve">₹3,205 per customer over 30.3-month average lifetime</w:t>
      </w:r>
    </w:p>
    <w:bookmarkEnd w:id="32"/>
    <w:bookmarkStart w:id="33" w:name="ltv-drivers-by-segment"/>
    <w:p>
      <w:pPr>
        <w:pStyle w:val="Heading3"/>
      </w:pPr>
      <w:r>
        <w:t xml:space="preserve">LTV Drivers by Segment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Monthly Spend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Frequency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Lifetime (Months)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Drivers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Inactivity, Feature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issues, Support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terms,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Expansion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15-20% of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35-45% of cohort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churn-analysis-2024"/>
    <w:p>
      <w:pPr>
        <w:pStyle w:val="Heading2"/>
      </w:pPr>
      <w:r>
        <w:t xml:space="preserve">Churn Analysis (2024)</w:t>
      </w:r>
    </w:p>
    <w:bookmarkStart w:id="35" w:name="monthly-churn-rate"/>
    <w:p>
      <w:pPr>
        <w:pStyle w:val="Heading3"/>
      </w:pPr>
      <w:r>
        <w:t xml:space="preserve">Monthly Churn Rate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 (Start)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433,548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feature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474,213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529,123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response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583,323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options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629,573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Seasonal (Jun-Jul 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669,127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Loyalty program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722,631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Loyalty retention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770,604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820,704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Holiday season anticipation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879,497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BFCM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926,702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Holiday season effect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Churn Trend Summary: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Early Year Volatility:</w:t>
      </w:r>
      <w:r>
        <w:t xml:space="preserve"> </w:t>
      </w:r>
      <w:r>
        <w:t xml:space="preserve">1.0% → 1.5% peak in May (Q2 expansion fatigue)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Post-Loyalty Program Improvement:</w:t>
      </w:r>
      <w:r>
        <w:t xml:space="preserve"> </w:t>
      </w:r>
      <w:r>
        <w:t xml:space="preserve">Q3 loyalty launch coincided with drop to 1.0%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Year-End Improvement:</w:t>
      </w:r>
      <w:r>
        <w:t xml:space="preserve"> </w:t>
      </w:r>
      <w:r>
        <w:t xml:space="preserve">0.8% December rate (lowest of year; holiday engagement)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Full-Year Average Monthly Churn:</w:t>
      </w:r>
      <w:r>
        <w:t xml:space="preserve"> </w:t>
      </w:r>
      <w:r>
        <w:t xml:space="preserve">1.08% (vs. 1.01% in 2023)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 Churn Rate:</w:t>
      </w:r>
      <w:r>
        <w:t xml:space="preserve"> </w:t>
      </w:r>
      <w:r>
        <w:t xml:space="preserve">9.7% (down from 12.1% in 2023, -2.4pp improvement)</w:t>
      </w:r>
    </w:p>
    <w:bookmarkEnd w:id="35"/>
    <w:bookmarkStart w:id="36" w:name="churn-reasons-by-of-churned-customers"/>
    <w:p>
      <w:pPr>
        <w:pStyle w:val="Heading3"/>
      </w:pPr>
      <w:r>
        <w:t xml:space="preserve">Churn Reasons (by % of churned customers)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Churned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Most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Inactivity (60+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notifications, re-engagement campaigns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Gaps / Product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roadmap prioritization; feature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positioning; feature differentiation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Support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team scaling; SLA improvements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pricing; loyalty discounts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API/Technical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SMB,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resources; SLA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Regulatory/Compliance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consulting; geo-specific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(Business closure, account consolidation)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Churn Mitigation Strategies (Already Implemented Q3 2024):</w:t>
      </w:r>
      <w:r>
        <w:t xml:space="preserve"> </w:t>
      </w:r>
      <w:r>
        <w:t xml:space="preserve">- Q3 Loyalty Program: 62,500 enrollments; reduced repeat churn 3.1pp</w:t>
      </w:r>
      <w:r>
        <w:t xml:space="preserve"> </w:t>
      </w:r>
      <w:r>
        <w:t xml:space="preserve">- SMS/Push Notifications: 2-3 re-engagement touches before churn</w:t>
      </w:r>
      <w:r>
        <w:t xml:space="preserve"> </w:t>
      </w:r>
      <w:r>
        <w:t xml:space="preserve">- Tiered Support: Enterprise dedicated account managers</w:t>
      </w:r>
      <w:r>
        <w:t xml:space="preserve"> </w:t>
      </w:r>
      <w:r>
        <w:t xml:space="preserve">- Feature Roadmap Transparency: Monthly product updates to SMB segment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ustomer-acquisition-funnel"/>
    <w:p>
      <w:pPr>
        <w:pStyle w:val="Heading2"/>
      </w:pPr>
      <w:r>
        <w:t xml:space="preserve">Customer Acquisition Funnel</w:t>
      </w:r>
    </w:p>
    <w:bookmarkStart w:id="38" w:name="full-year-2024-acquisition-funnel"/>
    <w:p>
      <w:pPr>
        <w:pStyle w:val="Heading3"/>
      </w:pPr>
      <w:r>
        <w:t xml:space="preserve">Full-Year 2024 Acquisition Funnel</w:t>
      </w:r>
    </w:p>
    <w:p>
      <w:pPr>
        <w:pStyle w:val="SourceCode"/>
      </w:pPr>
      <w:r>
        <w:rPr>
          <w:rStyle w:val="VerbatimChar"/>
        </w:rPr>
        <w:t xml:space="preserve">Total Addressable Market: 150M (fintech payment solution users in target geographies)</w:t>
      </w:r>
      <w:r>
        <w:br/>
      </w:r>
      <w:r>
        <w:br/>
      </w:r>
      <w:r>
        <w:rPr>
          <w:rStyle w:val="VerbatimChar"/>
        </w:rPr>
        <w:t xml:space="preserve">Awareness Stage:</w:t>
      </w:r>
      <w:r>
        <w:br/>
      </w:r>
      <w:r>
        <w:rPr>
          <w:rStyle w:val="VerbatimChar"/>
        </w:rPr>
        <w:t xml:space="preserve">└─ Impressions: 54.2M (from all campaigns/channels)</w:t>
      </w:r>
      <w:r>
        <w:br/>
      </w:r>
      <w:r>
        <w:rPr>
          <w:rStyle w:val="VerbatimChar"/>
        </w:rPr>
        <w:t xml:space="preserve">   └─ Reachability: 36% of target market exposed to brand</w:t>
      </w:r>
      <w:r>
        <w:br/>
      </w:r>
      <w:r>
        <w:br/>
      </w:r>
      <w:r>
        <w:rPr>
          <w:rStyle w:val="VerbatimChar"/>
        </w:rPr>
        <w:t xml:space="preserve">Interest Stage:</w:t>
      </w:r>
      <w:r>
        <w:br/>
      </w:r>
      <w:r>
        <w:rPr>
          <w:rStyle w:val="VerbatimChar"/>
        </w:rPr>
        <w:t xml:space="preserve">└─ Clicks/Engaged Users: 1.04M (1.92% of impressions)</w:t>
      </w:r>
      <w:r>
        <w:br/>
      </w:r>
      <w:r>
        <w:rPr>
          <w:rStyle w:val="VerbatimChar"/>
        </w:rPr>
        <w:t xml:space="preserve">   └─ Site Visitors: 1.04M (1:1 with clicks)</w:t>
      </w:r>
      <w:r>
        <w:br/>
      </w:r>
      <w:r>
        <w:br/>
      </w:r>
      <w:r>
        <w:rPr>
          <w:rStyle w:val="VerbatimChar"/>
        </w:rPr>
        <w:t xml:space="preserve">Consideration Stage:</w:t>
      </w:r>
      <w:r>
        <w:br/>
      </w:r>
      <w:r>
        <w:rPr>
          <w:rStyle w:val="VerbatimChar"/>
        </w:rPr>
        <w:t xml:space="preserve">└─ Leads Generated: 260K (25% of site visitors)</w:t>
      </w:r>
      <w:r>
        <w:br/>
      </w:r>
      <w:r>
        <w:rPr>
          <w:rStyle w:val="VerbatimChar"/>
        </w:rPr>
        <w:t xml:space="preserve">└─ Trial Signups: 245,942 (94% of leads)</w:t>
      </w:r>
      <w:r>
        <w:br/>
      </w:r>
      <w:r>
        <w:br/>
      </w:r>
      <w:r>
        <w:rPr>
          <w:rStyle w:val="VerbatimChar"/>
        </w:rPr>
        <w:t xml:space="preserve">Decision Stage:</w:t>
      </w:r>
      <w:r>
        <w:br/>
      </w:r>
      <w:r>
        <w:rPr>
          <w:rStyle w:val="VerbatimChar"/>
        </w:rPr>
        <w:t xml:space="preserve">└─ New Customers: 685,100 (176% of trial signups; includes inactive trials converted)</w:t>
      </w:r>
      <w:r>
        <w:br/>
      </w:r>
      <w:r>
        <w:rPr>
          <w:rStyle w:val="VerbatimChar"/>
        </w:rPr>
        <w:t xml:space="preserve">   └─ Paid Customers (30-day): 626,300 (91.4% of signups activated)</w:t>
      </w:r>
      <w:r>
        <w:br/>
      </w:r>
      <w:r>
        <w:rPr>
          <w:rStyle w:val="VerbatimChar"/>
        </w:rPr>
        <w:t xml:space="preserve">   └─ Active Customers (12-month): 574,800 (83.8% annual retention)</w:t>
      </w:r>
      <w:r>
        <w:br/>
      </w:r>
      <w:r>
        <w:br/>
      </w:r>
      <w:r>
        <w:rPr>
          <w:rStyle w:val="VerbatimChar"/>
        </w:rPr>
        <w:t xml:space="preserve">Loyalty/Advocacy Stage:</w:t>
      </w:r>
      <w:r>
        <w:br/>
      </w:r>
      <w:r>
        <w:rPr>
          <w:rStyle w:val="VerbatimChar"/>
        </w:rPr>
        <w:t xml:space="preserve">└─ Repeat Customers: 186,900 (27.3% of base; purchased 2+ times)</w:t>
      </w:r>
      <w:r>
        <w:br/>
      </w:r>
      <w:r>
        <w:rPr>
          <w:rStyle w:val="VerbatimChar"/>
        </w:rPr>
        <w:t xml:space="preserve">└─ Loyalty Program Members: 62,500 (Q3-Q4 new enrollments)</w:t>
      </w:r>
      <w:r>
        <w:br/>
      </w:r>
      <w:r>
        <w:rPr>
          <w:rStyle w:val="VerbatimChar"/>
        </w:rPr>
        <w:t xml:space="preserve">└─ Referral Source Customers: 45,600 (6.6% of acquisitions)</w:t>
      </w:r>
    </w:p>
    <w:bookmarkEnd w:id="38"/>
    <w:bookmarkStart w:id="39" w:name="funnel-metrics-by-quarter"/>
    <w:p>
      <w:pPr>
        <w:pStyle w:val="Heading3"/>
      </w:pPr>
      <w:r>
        <w:t xml:space="preserve">Funnel Metrics by Quarter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Awareness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Impressions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Reach (% of Target Market)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Clicks 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Click-through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Consideration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Leads Generated 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Conversion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 Signups 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Activation (30-day)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12-Month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geographic-customer-insights"/>
    <w:p>
      <w:pPr>
        <w:pStyle w:val="Heading2"/>
      </w:pPr>
      <w:r>
        <w:t xml:space="preserve">Geographic Customer Insights</w:t>
      </w:r>
    </w:p>
    <w:bookmarkStart w:id="41" w:name="india-core-market-deep-dive"/>
    <w:p>
      <w:pPr>
        <w:pStyle w:val="Heading3"/>
      </w:pPr>
      <w:r>
        <w:t xml:space="preserve">India Core Market Deep Dive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Jan-Mar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Apr-Jun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Jul-Sep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Oct-Dec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Rate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Customer Value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Share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</w:tr>
    </w:tbl>
    <w:p>
      <w:pPr>
        <w:pStyle w:val="BodyText"/>
      </w:pPr>
      <w:r>
        <w:rPr>
          <w:b/>
          <w:bCs/>
        </w:rPr>
        <w:t xml:space="preserve">India Insights:</w:t>
      </w:r>
      <w:r>
        <w:t xml:space="preserve"> </w:t>
      </w:r>
      <w:r>
        <w:t xml:space="preserve">- Largest market: 423,700 customers (61.8% of total)</w:t>
      </w:r>
      <w:r>
        <w:t xml:space="preserve"> </w:t>
      </w:r>
      <w:r>
        <w:t xml:space="preserve">- Maturation phase: Q1-Q2 high growth; Q3-Q4 slowing (loyalty program offsetting decline)</w:t>
      </w:r>
      <w:r>
        <w:t xml:space="preserve"> </w:t>
      </w:r>
      <w:r>
        <w:t xml:space="preserve">- CAC increasing as market saturates (Q1: ₹1,680 → Q4: ₹1,925)</w:t>
      </w:r>
      <w:r>
        <w:t xml:space="preserve"> </w:t>
      </w:r>
      <w:r>
        <w:t xml:space="preserve">- LTV improving with retention focus (Q3-Q4 loyalty program)</w:t>
      </w:r>
    </w:p>
    <w:bookmarkEnd w:id="41"/>
    <w:bookmarkStart w:id="42" w:name="european-markets-deep-dive"/>
    <w:p>
      <w:pPr>
        <w:pStyle w:val="Heading3"/>
      </w:pPr>
      <w:r>
        <w:t xml:space="preserve">European Markets Deep Dive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Blended CAC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 (₹)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2,940</w:t>
            </w:r>
          </w:p>
        </w:tc>
      </w:tr>
    </w:tbl>
    <w:p>
      <w:pPr>
        <w:pStyle w:val="BodyText"/>
      </w:pPr>
      <w:r>
        <w:rPr>
          <w:b/>
          <w:bCs/>
        </w:rPr>
        <w:t xml:space="preserve">Europe Summary:</w:t>
      </w:r>
      <w:r>
        <w:t xml:space="preserve"> </w:t>
      </w:r>
      <w:r>
        <w:t xml:space="preserve">- Combined: 391,800 customers (57.2% of new market acquisitions)</w:t>
      </w:r>
      <w:r>
        <w:t xml:space="preserve"> </w:t>
      </w:r>
      <w:r>
        <w:t xml:space="preserve">- UK: Highest LTV (₹3,420); London fintech hub adoption</w:t>
      </w:r>
      <w:r>
        <w:t xml:space="preserve"> </w:t>
      </w:r>
      <w:r>
        <w:t xml:space="preserve">- Germany: Most efficient CAC (₹1,950); B2B enterprise strength</w:t>
      </w:r>
      <w:r>
        <w:t xml:space="preserve"> </w:t>
      </w:r>
      <w:r>
        <w:t xml:space="preserve">- France: Most challenging; regulatory delays impacting retention (1.3% churn vs. 1.0% other EU)</w:t>
      </w:r>
    </w:p>
    <w:bookmarkEnd w:id="42"/>
    <w:bookmarkStart w:id="43" w:name="southeast-asia-emerging-market"/>
    <w:p>
      <w:pPr>
        <w:pStyle w:val="Heading3"/>
      </w:pPr>
      <w:r>
        <w:t xml:space="preserve">Southeast Asia Emerging Market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Trajectory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Stable; mature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Malaysia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growth; untapped SMB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Thailand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stage; education needed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SEA Summary:</w:t>
      </w:r>
      <w:r>
        <w:t xml:space="preserve"> </w:t>
      </w:r>
      <w:r>
        <w:t xml:space="preserve">- Combined: 139,800 customers (20.4% of new market acquisitions)</w:t>
      </w:r>
      <w:r>
        <w:t xml:space="preserve"> </w:t>
      </w:r>
      <w:r>
        <w:t xml:space="preserve">- Singapore: Premium market; highest LTV (₹4,215)</w:t>
      </w:r>
      <w:r>
        <w:t xml:space="preserve"> </w:t>
      </w:r>
      <w:r>
        <w:t xml:space="preserve">- Malaysia: Good efficiency; strong growth trajectory</w:t>
      </w:r>
      <w:r>
        <w:t xml:space="preserve"> </w:t>
      </w:r>
      <w:r>
        <w:t xml:space="preserve">- Thailand: Early stage; churn control needed (1.4% above average)</w:t>
      </w:r>
    </w:p>
    <w:bookmarkEnd w:id="43"/>
    <w:bookmarkStart w:id="44" w:name="latin-america-expansion"/>
    <w:p>
      <w:pPr>
        <w:pStyle w:val="Heading3"/>
      </w:pPr>
      <w:r>
        <w:t xml:space="preserve">Latin America Expansion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Churn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Momentum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Q4 (+28%)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Steady; B2B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building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LATAM Summary:</w:t>
      </w:r>
      <w:r>
        <w:t xml:space="preserve"> </w:t>
      </w:r>
      <w:r>
        <w:t xml:space="preserve">- Combined: 100,300 customers (14.6% of new market acquisitions)</w:t>
      </w:r>
      <w:r>
        <w:t xml:space="preserve"> </w:t>
      </w:r>
      <w:r>
        <w:t xml:space="preserve">- Brazil: Largest opportunity; strong Q4 holiday performance</w:t>
      </w:r>
      <w:r>
        <w:t xml:space="preserve"> </w:t>
      </w:r>
      <w:r>
        <w:t xml:space="preserve">- Mexico: B2B enterprise strong; government integration pilot</w:t>
      </w:r>
      <w:r>
        <w:t xml:space="preserve"> </w:t>
      </w:r>
      <w:r>
        <w:t xml:space="preserve">- Colombia: Government payment pilot underway; long-term strategic play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X8ab3d8b7d2f27b12a4e55af50ae64413c40a97a"/>
    <w:p>
      <w:pPr>
        <w:pStyle w:val="Heading2"/>
      </w:pPr>
      <w:r>
        <w:t xml:space="preserve">Customer Acquisition Benchmarks &amp; Targets (2025)</w:t>
      </w:r>
    </w:p>
    <w:bookmarkStart w:id="46" w:name="vs.-2025-targets"/>
    <w:p>
      <w:pPr>
        <w:pStyle w:val="Heading3"/>
      </w:pPr>
      <w:r>
        <w:t xml:space="preserve">2024 vs. 2025 Targets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 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Customers 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Blended CAC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-6%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12-Month Retention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+2.2pp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LTV (₹)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LTV:CAC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Referral-Driven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45,600 (6.6%)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85,000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data-quality-methodology"/>
    <w:p>
      <w:pPr>
        <w:pStyle w:val="Heading2"/>
      </w:pPr>
      <w:r>
        <w:t xml:space="preserve">Data Quality &amp; Methodology</w:t>
      </w:r>
    </w:p>
    <w:p>
      <w:pPr>
        <w:pStyle w:val="FirstParagraph"/>
      </w:pPr>
      <w:r>
        <w:rPr>
          <w:b/>
          <w:bCs/>
        </w:rPr>
        <w:t xml:space="preserve">Data Sources:</w:t>
      </w:r>
      <w:r>
        <w:t xml:space="preserve"> </w:t>
      </w:r>
      <w:r>
        <w:t xml:space="preserve">- HubSpot CRM (primary customer database; 99.2% complete)</w:t>
      </w:r>
      <w:r>
        <w:t xml:space="preserve"> </w:t>
      </w:r>
      <w:r>
        <w:t xml:space="preserve">- Salesforce (B2B segment tracking)</w:t>
      </w:r>
      <w:r>
        <w:t xml:space="preserve"> </w:t>
      </w:r>
      <w:r>
        <w:t xml:space="preserve">- Payment processing system (activation and revenue data)</w:t>
      </w:r>
      <w:r>
        <w:t xml:space="preserve"> </w:t>
      </w:r>
      <w:r>
        <w:t xml:space="preserve">- Email service provider (Klaviyo; email-driven acquisitions)</w:t>
      </w:r>
      <w:r>
        <w:t xml:space="preserve"> </w:t>
      </w:r>
      <w:r>
        <w:t xml:space="preserve">- Analytics platforms (Google Analytics, platform-native ads platforms)</w:t>
      </w:r>
    </w:p>
    <w:p>
      <w:pPr>
        <w:pStyle w:val="BodyText"/>
      </w:pPr>
      <w:r>
        <w:rPr>
          <w:b/>
          <w:bCs/>
        </w:rPr>
        <w:t xml:space="preserve">Definitions: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Customer:</w:t>
      </w:r>
      <w:r>
        <w:t xml:space="preserve"> </w:t>
      </w:r>
      <w:r>
        <w:t xml:space="preserve">Unique user who completes email verification and account setup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CAC:</w:t>
      </w:r>
      <w:r>
        <w:t xml:space="preserve"> </w:t>
      </w:r>
      <w:r>
        <w:t xml:space="preserve">Total marketing spend divided by new customers acquired (channel-level)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Retention:</w:t>
      </w:r>
      <w:r>
        <w:t xml:space="preserve"> </w:t>
      </w:r>
      <w:r>
        <w:t xml:space="preserve">Customers active (at least 1 transaction) in 30-day rolling window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Churn:</w:t>
      </w:r>
      <w:r>
        <w:t xml:space="preserve"> </w:t>
      </w:r>
      <w:r>
        <w:t xml:space="preserve">Customers inactive for 60+ consecutive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LTV:</w:t>
      </w:r>
      <w:r>
        <w:t xml:space="preserve"> </w:t>
      </w:r>
      <w:r>
        <w:t xml:space="preserve">(Average Revenue per Customer × Lifetime in Months) = estimated lifetime value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Cohort:</w:t>
      </w:r>
      <w:r>
        <w:t xml:space="preserve"> </w:t>
      </w:r>
      <w:r>
        <w:t xml:space="preserve">Group of customers acquired in same period (monthly or quarterly)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- LTV calculations use historical cohort data; may not represent new customer projections</w:t>
      </w:r>
      <w:r>
        <w:t xml:space="preserve"> </w:t>
      </w:r>
      <w:r>
        <w:t xml:space="preserve">- Churn definitions based on transaction activity; may not capture dormant-but-engaged users</w:t>
      </w:r>
      <w:r>
        <w:t xml:space="preserve"> </w:t>
      </w:r>
      <w:r>
        <w:t xml:space="preserve">- Geographic attribution based on signup location; some mobile/remote workers may be misclassified</w:t>
      </w:r>
      <w:r>
        <w:t xml:space="preserve"> </w:t>
      </w:r>
      <w:r>
        <w:t xml:space="preserve">- B2B segment tracking via Salesforce has 15% overlap with CRM data (manual sync required)</w:t>
      </w:r>
    </w:p>
    <w:p>
      <w:r>
        <w:pict>
          <v:rect style="width:0;height:1.5pt" o:hralign="center" o:hrstd="t" o:hr="t"/>
        </w:pict>
      </w:r>
    </w:p>
    <w:bookmarkEnd w:id="48"/>
    <w:bookmarkStart w:id="4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2024 demonstrated strong customer acquisition momentum with 685,100 new customers (19.9% YoY growth) while simultaneously improving retention metrics. The blended annual churn rate declined 2.4 percentage points (12.1% → 9.7%), driven by Q3 loyalty program launch and improved onboarding. Cohort analysis shows each quarterly cohort retaining better than the previous (82.3% → 87% annualized), indicating successful operational improvements.</w:t>
      </w:r>
    </w:p>
    <w:p>
      <w:pPr>
        <w:pStyle w:val="BodyText"/>
      </w:pPr>
      <w:r>
        <w:rPr>
          <w:b/>
          <w:bCs/>
        </w:rPr>
        <w:t xml:space="preserve">Key Achievements:</w:t>
      </w:r>
      <w:r>
        <w:t xml:space="preserve"> </w:t>
      </w:r>
      <w:r>
        <w:t xml:space="preserve">- 19.9% YoY growth in customer acquisitions</w:t>
      </w:r>
      <w:r>
        <w:t xml:space="preserve"> </w:t>
      </w:r>
      <w:r>
        <w:t xml:space="preserve">- 2.4pp improvement in annual churn rate</w:t>
      </w:r>
      <w:r>
        <w:t xml:space="preserve"> </w:t>
      </w:r>
      <w:r>
        <w:t xml:space="preserve">- 4.8pp improvement in 12-month retention trajectory by cohort</w:t>
      </w:r>
      <w:r>
        <w:t xml:space="preserve"> </w:t>
      </w:r>
      <w:r>
        <w:t xml:space="preserve">- Successful geographic expansion: 10 markets vs. 5 in 2023</w:t>
      </w:r>
      <w:r>
        <w:t xml:space="preserve"> </w:t>
      </w:r>
      <w:r>
        <w:t xml:space="preserve">- Digital channels driving 33.8% of acquisitions with CAC efficiency</w:t>
      </w:r>
      <w:r>
        <w:t xml:space="preserve"> </w:t>
      </w:r>
      <w:r>
        <w:t xml:space="preserve">- Referral program emerging as efficient channel (₹292 CAC)</w:t>
      </w:r>
    </w:p>
    <w:p>
      <w:pPr>
        <w:pStyle w:val="BodyText"/>
      </w:pPr>
      <w:r>
        <w:rPr>
          <w:b/>
          <w:bCs/>
        </w:rPr>
        <w:t xml:space="preserve">Areas for Improvement:</w:t>
      </w:r>
      <w:r>
        <w:t xml:space="preserve"> </w:t>
      </w:r>
      <w:r>
        <w:t xml:space="preserve">- SMB segment churn (14.2%) above target; product enhancements needed</w:t>
      </w:r>
      <w:r>
        <w:t xml:space="preserve"> </w:t>
      </w:r>
      <w:r>
        <w:t xml:space="preserve">- Thailand market underperforming (1.4% monthly churn); education campaigns required</w:t>
      </w:r>
      <w:r>
        <w:t xml:space="preserve"> </w:t>
      </w:r>
      <w:r>
        <w:t xml:space="preserve">- Early retention gap: 5.7pp drop from 1-month (95.9%) to 3-month (91.1%)</w:t>
      </w:r>
    </w:p>
    <w:p>
      <w:pPr>
        <w:pStyle w:val="BodyText"/>
      </w:pPr>
      <w:r>
        <w:rPr>
          <w:b/>
          <w:bCs/>
        </w:rPr>
        <w:t xml:space="preserve">2025 Recommendations:</w:t>
      </w:r>
      <w:r>
        <w:t xml:space="preserve"> </w:t>
      </w:r>
      <w:r>
        <w:t xml:space="preserve">1. Scale B2B enterprise acquisition (proven LTV premium)</w:t>
      </w:r>
      <w:r>
        <w:t xml:space="preserve"> </w:t>
      </w:r>
      <w:r>
        <w:t xml:space="preserve">2. Improve SMB retention through product roadmap alignment</w:t>
      </w:r>
      <w:r>
        <w:t xml:space="preserve"> </w:t>
      </w:r>
      <w:r>
        <w:t xml:space="preserve">3. Expand referral program (proven efficient; currently 6.6% of acquisitions)</w:t>
      </w:r>
      <w:r>
        <w:t xml:space="preserve"> </w:t>
      </w:r>
      <w:r>
        <w:t xml:space="preserve">4. Geographic expansion to Chile, Peru, Argentina (similar LATAM market fit as Brazil)</w:t>
      </w:r>
      <w:r>
        <w:t xml:space="preserve"> </w:t>
      </w:r>
      <w:r>
        <w:t xml:space="preserve">5. AI-driven retention targeting for at-risk customer cohorts</w:t>
      </w:r>
    </w:p>
    <w:p>
      <w:pPr>
        <w:pStyle w:val="BodyText"/>
      </w:pPr>
      <w:r>
        <w:rPr>
          <w:i/>
          <w:iCs/>
        </w:rPr>
        <w:t xml:space="preserve">Report prepared January 2025 for executive review and strategic planning.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2026-03-24T06:46:45Z</dcterms:created>
  <dcterms:modified xsi:type="dcterms:W3CDTF">2026-03-24T06:46:45Z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