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nnual-marketing-report---2024"/>
    <w:p>
      <w:pPr>
        <w:pStyle w:val="Heading1"/>
      </w:pPr>
      <w:r>
        <w:t xml:space="preserve">Annual Marketing Report - 2024</w:t>
      </w:r>
    </w:p>
    <w:bookmarkStart w:id="20" w:name="finsolve-technologies"/>
    <w:p>
      <w:pPr>
        <w:pStyle w:val="Heading2"/>
      </w:pPr>
      <w:r>
        <w:t xml:space="preserve">FinSolve Technologies</w:t>
      </w:r>
    </w:p>
    <w:p>
      <w:pPr>
        <w:pStyle w:val="FirstParagraph"/>
      </w:pPr>
      <w:r>
        <w:rPr>
          <w:b/>
          <w:bCs/>
        </w:rPr>
        <w:t xml:space="preserve">Reporting Period:</w:t>
      </w:r>
      <w:r>
        <w:t xml:space="preserve"> </w:t>
      </w:r>
      <w:r>
        <w:t xml:space="preserve">January 1 - December 31, 2024</w:t>
      </w:r>
      <w:r>
        <w:t xml:space="preserve"> </w:t>
      </w:r>
      <w:r>
        <w:rPr>
          <w:b/>
          <w:bCs/>
        </w:rPr>
        <w:t xml:space="preserve">Currency:</w:t>
      </w:r>
      <w:r>
        <w:t xml:space="preserve"> </w:t>
      </w:r>
      <w:r>
        <w:t xml:space="preserve">INR (Indian Rupees)</w:t>
      </w:r>
      <w:r>
        <w:t xml:space="preserve"> </w:t>
      </w:r>
      <w:r>
        <w:rPr>
          <w:b/>
          <w:bCs/>
        </w:rPr>
        <w:t xml:space="preserve">Company:</w:t>
      </w:r>
      <w:r>
        <w:t xml:space="preserve"> </w:t>
      </w:r>
      <w:r>
        <w:t xml:space="preserve">FinSolve Technologies |</w:t>
      </w:r>
      <w:r>
        <w:t xml:space="preserve"> </w:t>
      </w:r>
      <w:r>
        <w:rPr>
          <w:b/>
          <w:bCs/>
        </w:rPr>
        <w:t xml:space="preserve">Location:</w:t>
      </w:r>
      <w:r>
        <w:t xml:space="preserve"> </w:t>
      </w:r>
      <w:r>
        <w:t xml:space="preserve">India</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2024 was a transformational year for FinSolve Technologies marketing, characterized by aggressive geographic expansion (10 markets), successful product launches, and unprecedented customer acquisition. The marketing department executed 28 major campaigns across four quarters, acquiring 685,100 new customers (19.9% YoY growth) and generating ₹355 Lakh in marketing-attributed revenue (24.6% YoY growth). Marketing efficiency improved significantly with CAC declining 8.1% to ₹1,812 despite expanding into emerging markets. Overall ROI improved 24.1% YoY to 3.14x, demonstrating strong operational discipline and data-driven optimization across all channels.</w:t>
      </w:r>
    </w:p>
    <w:p>
      <w:r>
        <w:pict>
          <v:rect style="width:0;height:1.5pt" o:hralign="center" o:hrstd="t" o:hr="t"/>
        </w:pict>
      </w:r>
    </w:p>
    <w:bookmarkEnd w:id="21"/>
    <w:bookmarkStart w:id="22" w:name="Xbb83f8a1528a5739cd8453474d98d207687db6d"/>
    <w:p>
      <w:pPr>
        <w:pStyle w:val="Heading2"/>
      </w:pPr>
      <w:r>
        <w:t xml:space="preserve">Year-Over-Year (YoY) Performance: 2024 vs. 2023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YoY Change</w:t>
            </w:r>
          </w:p>
        </w:tc>
        <w:tc>
          <w:tcPr/>
          <w:p>
            <w:pPr>
              <w:pStyle w:val="Compact"/>
              <w:jc w:val="left"/>
            </w:pPr>
            <w:r>
              <w:t xml:space="preserve">% Growth</w:t>
            </w:r>
          </w:p>
        </w:tc>
      </w:tr>
      <w:tr>
        <w:tc>
          <w:tcPr/>
          <w:p>
            <w:pPr>
              <w:pStyle w:val="Compact"/>
              <w:jc w:val="left"/>
            </w:pPr>
            <w:r>
              <w:t xml:space="preserve">New Customer Acquisitions</w:t>
            </w:r>
          </w:p>
        </w:tc>
        <w:tc>
          <w:tcPr/>
          <w:p>
            <w:pPr>
              <w:pStyle w:val="Compact"/>
              <w:jc w:val="left"/>
            </w:pPr>
            <w:r>
              <w:t xml:space="preserve">571,200</w:t>
            </w:r>
          </w:p>
        </w:tc>
        <w:tc>
          <w:tcPr/>
          <w:p>
            <w:pPr>
              <w:pStyle w:val="Compact"/>
              <w:jc w:val="left"/>
            </w:pPr>
            <w:r>
              <w:t xml:space="preserve">685,100</w:t>
            </w:r>
          </w:p>
        </w:tc>
        <w:tc>
          <w:tcPr/>
          <w:p>
            <w:pPr>
              <w:pStyle w:val="Compact"/>
              <w:jc w:val="left"/>
            </w:pPr>
            <w:r>
              <w:t xml:space="preserve">+113,900</w:t>
            </w:r>
          </w:p>
        </w:tc>
        <w:tc>
          <w:tcPr/>
          <w:p>
            <w:pPr>
              <w:pStyle w:val="Compact"/>
              <w:jc w:val="left"/>
            </w:pPr>
            <w:r>
              <w:t xml:space="preserve">+19.9%</w:t>
            </w:r>
          </w:p>
        </w:tc>
      </w:tr>
      <w:tr>
        <w:tc>
          <w:tcPr/>
          <w:p>
            <w:pPr>
              <w:pStyle w:val="Compact"/>
              <w:jc w:val="left"/>
            </w:pPr>
            <w:r>
              <w:t xml:space="preserve">Marketing-Attributed Revenue (₹L)</w:t>
            </w:r>
          </w:p>
        </w:tc>
        <w:tc>
          <w:tcPr/>
          <w:p>
            <w:pPr>
              <w:pStyle w:val="Compact"/>
              <w:jc w:val="left"/>
            </w:pPr>
            <w:r>
              <w:t xml:space="preserve">285</w:t>
            </w:r>
          </w:p>
        </w:tc>
        <w:tc>
          <w:tcPr/>
          <w:p>
            <w:pPr>
              <w:pStyle w:val="Compact"/>
              <w:jc w:val="left"/>
            </w:pPr>
            <w:r>
              <w:t xml:space="preserve">355</w:t>
            </w:r>
          </w:p>
        </w:tc>
        <w:tc>
          <w:tcPr/>
          <w:p>
            <w:pPr>
              <w:pStyle w:val="Compact"/>
              <w:jc w:val="left"/>
            </w:pPr>
            <w:r>
              <w:t xml:space="preserve">+70</w:t>
            </w:r>
          </w:p>
        </w:tc>
        <w:tc>
          <w:tcPr/>
          <w:p>
            <w:pPr>
              <w:pStyle w:val="Compact"/>
              <w:jc w:val="left"/>
            </w:pPr>
            <w:r>
              <w:t xml:space="preserve">+24.6%</w:t>
            </w:r>
          </w:p>
        </w:tc>
      </w:tr>
      <w:tr>
        <w:tc>
          <w:tcPr/>
          <w:p>
            <w:pPr>
              <w:pStyle w:val="Compact"/>
              <w:jc w:val="left"/>
            </w:pPr>
            <w:r>
              <w:t xml:space="preserve">Total Marketing Spend (₹L)</w:t>
            </w:r>
          </w:p>
        </w:tc>
        <w:tc>
          <w:tcPr/>
          <w:p>
            <w:pPr>
              <w:pStyle w:val="Compact"/>
              <w:jc w:val="left"/>
            </w:pPr>
            <w:r>
              <w:t xml:space="preserve">1,125</w:t>
            </w:r>
          </w:p>
        </w:tc>
        <w:tc>
          <w:tcPr/>
          <w:p>
            <w:pPr>
              <w:pStyle w:val="Compact"/>
              <w:jc w:val="left"/>
            </w:pPr>
            <w:r>
              <w:t xml:space="preserve">1,330</w:t>
            </w:r>
          </w:p>
        </w:tc>
        <w:tc>
          <w:tcPr/>
          <w:p>
            <w:pPr>
              <w:pStyle w:val="Compact"/>
              <w:jc w:val="left"/>
            </w:pPr>
            <w:r>
              <w:t xml:space="preserve">+205</w:t>
            </w:r>
          </w:p>
        </w:tc>
        <w:tc>
          <w:tcPr/>
          <w:p>
            <w:pPr>
              <w:pStyle w:val="Compact"/>
              <w:jc w:val="left"/>
            </w:pPr>
            <w:r>
              <w:t xml:space="preserve">+18.2%</w:t>
            </w:r>
          </w:p>
        </w:tc>
      </w:tr>
      <w:tr>
        <w:tc>
          <w:tcPr/>
          <w:p>
            <w:pPr>
              <w:pStyle w:val="Compact"/>
              <w:jc w:val="left"/>
            </w:pPr>
            <w:r>
              <w:t xml:space="preserve">Average Quarterly ROI</w:t>
            </w:r>
          </w:p>
        </w:tc>
        <w:tc>
          <w:tcPr/>
          <w:p>
            <w:pPr>
              <w:pStyle w:val="Compact"/>
              <w:jc w:val="left"/>
            </w:pPr>
            <w:r>
              <w:t xml:space="preserve">2.53x</w:t>
            </w:r>
          </w:p>
        </w:tc>
        <w:tc>
          <w:tcPr/>
          <w:p>
            <w:pPr>
              <w:pStyle w:val="Compact"/>
              <w:jc w:val="left"/>
            </w:pPr>
            <w:r>
              <w:t xml:space="preserve">3.14x</w:t>
            </w:r>
          </w:p>
        </w:tc>
        <w:tc>
          <w:tcPr/>
          <w:p>
            <w:pPr>
              <w:pStyle w:val="Compact"/>
              <w:jc w:val="left"/>
            </w:pPr>
            <w:r>
              <w:t xml:space="preserve">+0.61x</w:t>
            </w:r>
          </w:p>
        </w:tc>
        <w:tc>
          <w:tcPr/>
          <w:p>
            <w:pPr>
              <w:pStyle w:val="Compact"/>
              <w:jc w:val="left"/>
            </w:pPr>
            <w:r>
              <w:t xml:space="preserve">+24.1%</w:t>
            </w:r>
          </w:p>
        </w:tc>
      </w:tr>
      <w:tr>
        <w:tc>
          <w:tcPr/>
          <w:p>
            <w:pPr>
              <w:pStyle w:val="Compact"/>
              <w:jc w:val="left"/>
            </w:pPr>
            <w:r>
              <w:t xml:space="preserve">Customer Acquisition Cost (CAC)</w:t>
            </w:r>
          </w:p>
        </w:tc>
        <w:tc>
          <w:tcPr/>
          <w:p>
            <w:pPr>
              <w:pStyle w:val="Compact"/>
              <w:jc w:val="left"/>
            </w:pPr>
            <w:r>
              <w:t xml:space="preserve">₹1,971</w:t>
            </w:r>
          </w:p>
        </w:tc>
        <w:tc>
          <w:tcPr/>
          <w:p>
            <w:pPr>
              <w:pStyle w:val="Compact"/>
              <w:jc w:val="left"/>
            </w:pPr>
            <w:r>
              <w:t xml:space="preserve">₹1,812</w:t>
            </w:r>
          </w:p>
        </w:tc>
        <w:tc>
          <w:tcPr/>
          <w:p>
            <w:pPr>
              <w:pStyle w:val="Compact"/>
              <w:jc w:val="left"/>
            </w:pPr>
            <w:r>
              <w:t xml:space="preserve">-₹159</w:t>
            </w:r>
          </w:p>
        </w:tc>
        <w:tc>
          <w:tcPr/>
          <w:p>
            <w:pPr>
              <w:pStyle w:val="Compact"/>
              <w:jc w:val="left"/>
            </w:pPr>
            <w:r>
              <w:t xml:space="preserve">-8.1%</w:t>
            </w:r>
          </w:p>
        </w:tc>
      </w:tr>
      <w:tr>
        <w:tc>
          <w:tcPr/>
          <w:p>
            <w:pPr>
              <w:pStyle w:val="Compact"/>
              <w:jc w:val="left"/>
            </w:pPr>
            <w:r>
              <w:t xml:space="preserve">LTV:CAC Ratio</w:t>
            </w:r>
          </w:p>
        </w:tc>
        <w:tc>
          <w:tcPr/>
          <w:p>
            <w:pPr>
              <w:pStyle w:val="Compact"/>
              <w:jc w:val="left"/>
            </w:pPr>
            <w:r>
              <w:t xml:space="preserve">1:5.2</w:t>
            </w:r>
          </w:p>
        </w:tc>
        <w:tc>
          <w:tcPr/>
          <w:p>
            <w:pPr>
              <w:pStyle w:val="Compact"/>
              <w:jc w:val="left"/>
            </w:pPr>
            <w:r>
              <w:t xml:space="preserve">1:6.1</w:t>
            </w:r>
          </w:p>
        </w:tc>
        <w:tc>
          <w:tcPr/>
          <w:p>
            <w:pPr>
              <w:pStyle w:val="Compact"/>
              <w:jc w:val="left"/>
            </w:pPr>
            <w:r>
              <w:t xml:space="preserve">+0.9</w:t>
            </w:r>
          </w:p>
        </w:tc>
        <w:tc>
          <w:tcPr/>
          <w:p>
            <w:pPr>
              <w:pStyle w:val="Compact"/>
              <w:jc w:val="left"/>
            </w:pPr>
            <w:r>
              <w:t xml:space="preserve">+17.3%</w:t>
            </w:r>
          </w:p>
        </w:tc>
      </w:tr>
      <w:tr>
        <w:tc>
          <w:tcPr/>
          <w:p>
            <w:pPr>
              <w:pStyle w:val="Compact"/>
              <w:jc w:val="left"/>
            </w:pPr>
            <w:r>
              <w:t xml:space="preserve">Average Campaign Conversion Rate</w:t>
            </w:r>
          </w:p>
        </w:tc>
        <w:tc>
          <w:tcPr/>
          <w:p>
            <w:pPr>
              <w:pStyle w:val="Compact"/>
              <w:jc w:val="left"/>
            </w:pPr>
            <w:r>
              <w:t xml:space="preserve">8.2%</w:t>
            </w:r>
          </w:p>
        </w:tc>
        <w:tc>
          <w:tcPr/>
          <w:p>
            <w:pPr>
              <w:pStyle w:val="Compact"/>
              <w:jc w:val="left"/>
            </w:pPr>
            <w:r>
              <w:t xml:space="preserve">10.8%</w:t>
            </w:r>
          </w:p>
        </w:tc>
        <w:tc>
          <w:tcPr/>
          <w:p>
            <w:pPr>
              <w:pStyle w:val="Compact"/>
              <w:jc w:val="left"/>
            </w:pPr>
            <w:r>
              <w:t xml:space="preserve">+2.6pp</w:t>
            </w:r>
          </w:p>
        </w:tc>
        <w:tc>
          <w:tcPr/>
          <w:p>
            <w:pPr>
              <w:pStyle w:val="Compact"/>
              <w:jc w:val="left"/>
            </w:pPr>
            <w:r>
              <w:t xml:space="preserve">+31.7%</w:t>
            </w:r>
          </w:p>
        </w:tc>
      </w:tr>
      <w:tr>
        <w:tc>
          <w:tcPr/>
          <w:p>
            <w:pPr>
              <w:pStyle w:val="Compact"/>
              <w:jc w:val="left"/>
            </w:pPr>
            <w:r>
              <w:t xml:space="preserve">Social Media Followers (Combined)</w:t>
            </w:r>
          </w:p>
        </w:tc>
        <w:tc>
          <w:tcPr/>
          <w:p>
            <w:pPr>
              <w:pStyle w:val="Compact"/>
              <w:jc w:val="left"/>
            </w:pPr>
            <w:r>
              <w:t xml:space="preserve">385,400</w:t>
            </w:r>
          </w:p>
        </w:tc>
        <w:tc>
          <w:tcPr/>
          <w:p>
            <w:pPr>
              <w:pStyle w:val="Compact"/>
              <w:jc w:val="left"/>
            </w:pPr>
            <w:r>
              <w:t xml:space="preserve">1,830,000</w:t>
            </w:r>
          </w:p>
        </w:tc>
        <w:tc>
          <w:tcPr/>
          <w:p>
            <w:pPr>
              <w:pStyle w:val="Compact"/>
              <w:jc w:val="left"/>
            </w:pPr>
            <w:r>
              <w:t xml:space="preserve">+1,444,600</w:t>
            </w:r>
          </w:p>
        </w:tc>
        <w:tc>
          <w:tcPr/>
          <w:p>
            <w:pPr>
              <w:pStyle w:val="Compact"/>
              <w:jc w:val="left"/>
            </w:pPr>
            <w:r>
              <w:t xml:space="preserve">+375%</w:t>
            </w:r>
          </w:p>
        </w:tc>
      </w:tr>
      <w:tr>
        <w:tc>
          <w:tcPr/>
          <w:p>
            <w:pPr>
              <w:pStyle w:val="Compact"/>
              <w:jc w:val="left"/>
            </w:pPr>
            <w:r>
              <w:t xml:space="preserve">Brand Awareness (Market Research)</w:t>
            </w:r>
          </w:p>
        </w:tc>
        <w:tc>
          <w:tcPr/>
          <w:p>
            <w:pPr>
              <w:pStyle w:val="Compact"/>
              <w:jc w:val="left"/>
            </w:pPr>
            <w:r>
              <w:t xml:space="preserve">22%</w:t>
            </w:r>
          </w:p>
        </w:tc>
        <w:tc>
          <w:tcPr/>
          <w:p>
            <w:pPr>
              <w:pStyle w:val="Compact"/>
              <w:jc w:val="left"/>
            </w:pPr>
            <w:r>
              <w:t xml:space="preserve">38%</w:t>
            </w:r>
          </w:p>
        </w:tc>
        <w:tc>
          <w:tcPr/>
          <w:p>
            <w:pPr>
              <w:pStyle w:val="Compact"/>
              <w:jc w:val="left"/>
            </w:pPr>
            <w:r>
              <w:t xml:space="preserve">+16pp</w:t>
            </w:r>
          </w:p>
        </w:tc>
        <w:tc>
          <w:tcPr/>
          <w:p>
            <w:pPr>
              <w:pStyle w:val="Compact"/>
              <w:jc w:val="left"/>
            </w:pPr>
            <w:r>
              <w:t xml:space="preserve">+72.7%</w:t>
            </w:r>
          </w:p>
        </w:tc>
      </w:tr>
      <w:tr>
        <w:tc>
          <w:tcPr/>
          <w:p>
            <w:pPr>
              <w:pStyle w:val="Compact"/>
              <w:jc w:val="left"/>
            </w:pPr>
            <w:r>
              <w:t xml:space="preserve">Customer Engagement Rate (Avg)</w:t>
            </w:r>
          </w:p>
        </w:tc>
        <w:tc>
          <w:tcPr/>
          <w:p>
            <w:pPr>
              <w:pStyle w:val="Compact"/>
              <w:jc w:val="left"/>
            </w:pPr>
            <w:r>
              <w:t xml:space="preserve">4.1%</w:t>
            </w:r>
          </w:p>
        </w:tc>
        <w:tc>
          <w:tcPr/>
          <w:p>
            <w:pPr>
              <w:pStyle w:val="Compact"/>
              <w:jc w:val="left"/>
            </w:pPr>
            <w:r>
              <w:t xml:space="preserve">8.65%</w:t>
            </w:r>
          </w:p>
        </w:tc>
        <w:tc>
          <w:tcPr/>
          <w:p>
            <w:pPr>
              <w:pStyle w:val="Compact"/>
              <w:jc w:val="left"/>
            </w:pPr>
            <w:r>
              <w:t xml:space="preserve">+4.55pp</w:t>
            </w:r>
          </w:p>
        </w:tc>
        <w:tc>
          <w:tcPr/>
          <w:p>
            <w:pPr>
              <w:pStyle w:val="Compact"/>
              <w:jc w:val="left"/>
            </w:pPr>
            <w:r>
              <w:t xml:space="preserve">+110.9%</w:t>
            </w:r>
          </w:p>
        </w:tc>
      </w:tr>
      <w:tr>
        <w:tc>
          <w:tcPr/>
          <w:p>
            <w:pPr>
              <w:pStyle w:val="Compact"/>
              <w:jc w:val="left"/>
            </w:pPr>
            <w:r>
              <w:t xml:space="preserve">Geographic Markets Served</w:t>
            </w:r>
          </w:p>
        </w:tc>
        <w:tc>
          <w:tcPr/>
          <w:p>
            <w:pPr>
              <w:pStyle w:val="Compact"/>
              <w:jc w:val="left"/>
            </w:pPr>
            <w:r>
              <w:t xml:space="preserve">5</w:t>
            </w:r>
          </w:p>
        </w:tc>
        <w:tc>
          <w:tcPr/>
          <w:p>
            <w:pPr>
              <w:pStyle w:val="Compact"/>
              <w:jc w:val="left"/>
            </w:pPr>
            <w:r>
              <w:t xml:space="preserve">10</w:t>
            </w:r>
          </w:p>
        </w:tc>
        <w:tc>
          <w:tcPr/>
          <w:p>
            <w:pPr>
              <w:pStyle w:val="Compact"/>
              <w:jc w:val="left"/>
            </w:pPr>
            <w:r>
              <w:t xml:space="preserve">+5</w:t>
            </w:r>
          </w:p>
        </w:tc>
        <w:tc>
          <w:tcPr/>
          <w:p>
            <w:pPr>
              <w:pStyle w:val="Compact"/>
              <w:jc w:val="left"/>
            </w:pPr>
            <w:r>
              <w:t xml:space="preserve">+100%</w:t>
            </w:r>
          </w:p>
        </w:tc>
      </w:tr>
    </w:tbl>
    <w:p>
      <w:pPr>
        <w:pStyle w:val="BodyText"/>
      </w:pPr>
      <w:r>
        <w:rPr>
          <w:b/>
          <w:bCs/>
        </w:rPr>
        <w:t xml:space="preserve">Key Achievements:</w:t>
      </w:r>
      <w:r>
        <w:t xml:space="preserve"> </w:t>
      </w:r>
      <w:r>
        <w:t xml:space="preserve">- 2x geographic market expansion (5 → 10 markets)</w:t>
      </w:r>
      <w:r>
        <w:t xml:space="preserve"> </w:t>
      </w:r>
      <w:r>
        <w:t xml:space="preserve">- 31.7% improvement in average campaign conversion rates</w:t>
      </w:r>
      <w:r>
        <w:t xml:space="preserve"> </w:t>
      </w:r>
      <w:r>
        <w:t xml:space="preserve">- 375% growth in social media audience</w:t>
      </w:r>
      <w:r>
        <w:t xml:space="preserve"> </w:t>
      </w:r>
      <w:r>
        <w:t xml:space="preserve">- 72.7% increase in brand awareness metrics</w:t>
      </w:r>
      <w:r>
        <w:t xml:space="preserve"> </w:t>
      </w:r>
      <w:r>
        <w:t xml:space="preserve">- CAC improved despite 100% geographic market expansion</w:t>
      </w:r>
    </w:p>
    <w:p>
      <w:r>
        <w:pict>
          <v:rect style="width:0;height:1.5pt" o:hralign="center" o:hrstd="t" o:hr="t"/>
        </w:pict>
      </w:r>
    </w:p>
    <w:bookmarkEnd w:id="22"/>
    <w:bookmarkStart w:id="25" w:name="campaign-performance-by-type-2024"/>
    <w:p>
      <w:pPr>
        <w:pStyle w:val="Heading2"/>
      </w:pPr>
      <w:r>
        <w:t xml:space="preserve">Campaign Performance by Type (2024)</w:t>
      </w:r>
    </w:p>
    <w:bookmarkStart w:id="23" w:name="top-10-performing-campaigns-by-roi"/>
    <w:p>
      <w:pPr>
        <w:pStyle w:val="Heading3"/>
      </w:pPr>
      <w:r>
        <w:t xml:space="preserve">Top 10 Performing Campaigns (by ROI)</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Rank</w:t>
            </w:r>
          </w:p>
        </w:tc>
        <w:tc>
          <w:tcPr/>
          <w:p>
            <w:pPr>
              <w:pStyle w:val="Compact"/>
              <w:jc w:val="left"/>
            </w:pPr>
            <w:r>
              <w:t xml:space="preserve">Campaign Name</w:t>
            </w:r>
          </w:p>
        </w:tc>
        <w:tc>
          <w:tcPr/>
          <w:p>
            <w:pPr>
              <w:pStyle w:val="Compact"/>
              <w:jc w:val="left"/>
            </w:pPr>
            <w:r>
              <w:t xml:space="preserve">Quarter</w:t>
            </w:r>
          </w:p>
        </w:tc>
        <w:tc>
          <w:tcPr/>
          <w:p>
            <w:pPr>
              <w:pStyle w:val="Compact"/>
              <w:jc w:val="left"/>
            </w:pPr>
            <w:r>
              <w:t xml:space="preserve">Type</w:t>
            </w:r>
          </w:p>
        </w:tc>
        <w:tc>
          <w:tcPr/>
          <w:p>
            <w:pPr>
              <w:pStyle w:val="Compact"/>
              <w:jc w:val="left"/>
            </w:pPr>
            <w:r>
              <w:t xml:space="preserve">Budget (₹L)</w:t>
            </w:r>
          </w:p>
        </w:tc>
        <w:tc>
          <w:tcPr/>
          <w:p>
            <w:pPr>
              <w:pStyle w:val="Compact"/>
              <w:jc w:val="left"/>
            </w:pPr>
            <w:r>
              <w:t xml:space="preserve">Revenue (₹L)</w:t>
            </w:r>
          </w:p>
        </w:tc>
        <w:tc>
          <w:tcPr/>
          <w:p>
            <w:pPr>
              <w:pStyle w:val="Compact"/>
              <w:jc w:val="left"/>
            </w:pPr>
            <w:r>
              <w:t xml:space="preserve">ROI</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Video Content - Year-End Review</w:t>
            </w:r>
          </w:p>
        </w:tc>
        <w:tc>
          <w:tcPr/>
          <w:p>
            <w:pPr>
              <w:pStyle w:val="Compact"/>
              <w:jc w:val="left"/>
            </w:pPr>
            <w:r>
              <w:t xml:space="preserve">Q4</w:t>
            </w:r>
          </w:p>
        </w:tc>
        <w:tc>
          <w:tcPr/>
          <w:p>
            <w:pPr>
              <w:pStyle w:val="Compact"/>
              <w:jc w:val="left"/>
            </w:pPr>
            <w:r>
              <w:t xml:space="preserve">Content/Brand</w:t>
            </w:r>
          </w:p>
        </w:tc>
        <w:tc>
          <w:tcPr/>
          <w:p>
            <w:pPr>
              <w:pStyle w:val="Compact"/>
              <w:jc w:val="left"/>
            </w:pPr>
            <w:r>
              <w:t xml:space="preserve">42</w:t>
            </w:r>
          </w:p>
        </w:tc>
        <w:tc>
          <w:tcPr/>
          <w:p>
            <w:pPr>
              <w:pStyle w:val="Compact"/>
              <w:jc w:val="left"/>
            </w:pPr>
            <w:r>
              <w:t xml:space="preserve">38.5</w:t>
            </w:r>
          </w:p>
        </w:tc>
        <w:tc>
          <w:tcPr/>
          <w:p>
            <w:pPr>
              <w:pStyle w:val="Compact"/>
              <w:jc w:val="left"/>
            </w:pPr>
            <w:r>
              <w:t xml:space="preserve">4.58x</w:t>
            </w:r>
          </w:p>
        </w:tc>
        <w:tc>
          <w:tcPr/>
          <w:p>
            <w:pPr>
              <w:pStyle w:val="Compact"/>
              <w:jc w:val="left"/>
            </w:pPr>
            <w:r>
              <w:t xml:space="preserve">Completed</w:t>
            </w:r>
          </w:p>
        </w:tc>
      </w:tr>
      <w:tr>
        <w:tc>
          <w:tcPr/>
          <w:p>
            <w:pPr>
              <w:pStyle w:val="Compact"/>
              <w:jc w:val="left"/>
            </w:pPr>
            <w:r>
              <w:t xml:space="preserve">2</w:t>
            </w:r>
          </w:p>
        </w:tc>
        <w:tc>
          <w:tcPr/>
          <w:p>
            <w:pPr>
              <w:pStyle w:val="Compact"/>
              <w:jc w:val="left"/>
            </w:pPr>
            <w:r>
              <w:t xml:space="preserve">Paid Search - Holiday Keywords</w:t>
            </w:r>
          </w:p>
        </w:tc>
        <w:tc>
          <w:tcPr/>
          <w:p>
            <w:pPr>
              <w:pStyle w:val="Compact"/>
              <w:jc w:val="left"/>
            </w:pPr>
            <w:r>
              <w:t xml:space="preserve">Q4</w:t>
            </w:r>
          </w:p>
        </w:tc>
        <w:tc>
          <w:tcPr/>
          <w:p>
            <w:pPr>
              <w:pStyle w:val="Compact"/>
              <w:jc w:val="left"/>
            </w:pPr>
            <w:r>
              <w:t xml:space="preserve">Performance</w:t>
            </w:r>
          </w:p>
        </w:tc>
        <w:tc>
          <w:tcPr/>
          <w:p>
            <w:pPr>
              <w:pStyle w:val="Compact"/>
              <w:jc w:val="left"/>
            </w:pPr>
            <w:r>
              <w:t xml:space="preserve">45</w:t>
            </w:r>
          </w:p>
        </w:tc>
        <w:tc>
          <w:tcPr/>
          <w:p>
            <w:pPr>
              <w:pStyle w:val="Compact"/>
              <w:jc w:val="left"/>
            </w:pPr>
            <w:r>
              <w:t xml:space="preserve">31.4</w:t>
            </w:r>
          </w:p>
        </w:tc>
        <w:tc>
          <w:tcPr/>
          <w:p>
            <w:pPr>
              <w:pStyle w:val="Compact"/>
              <w:jc w:val="left"/>
            </w:pPr>
            <w:r>
              <w:t xml:space="preserve">3.49x</w:t>
            </w:r>
          </w:p>
        </w:tc>
        <w:tc>
          <w:tcPr/>
          <w:p>
            <w:pPr>
              <w:pStyle w:val="Compact"/>
              <w:jc w:val="left"/>
            </w:pPr>
            <w:r>
              <w:t xml:space="preserve">Completed</w:t>
            </w:r>
          </w:p>
        </w:tc>
      </w:tr>
      <w:tr>
        <w:tc>
          <w:tcPr/>
          <w:p>
            <w:pPr>
              <w:pStyle w:val="Compact"/>
              <w:jc w:val="left"/>
            </w:pPr>
            <w:r>
              <w:t xml:space="preserve">3</w:t>
            </w:r>
          </w:p>
        </w:tc>
        <w:tc>
          <w:tcPr/>
          <w:p>
            <w:pPr>
              <w:pStyle w:val="Compact"/>
              <w:jc w:val="left"/>
            </w:pPr>
            <w:r>
              <w:t xml:space="preserve">Southeast Asia Market Entry</w:t>
            </w:r>
          </w:p>
        </w:tc>
        <w:tc>
          <w:tcPr/>
          <w:p>
            <w:pPr>
              <w:pStyle w:val="Compact"/>
              <w:jc w:val="left"/>
            </w:pPr>
            <w:r>
              <w:t xml:space="preserve">Q2</w:t>
            </w:r>
          </w:p>
        </w:tc>
        <w:tc>
          <w:tcPr/>
          <w:p>
            <w:pPr>
              <w:pStyle w:val="Compact"/>
              <w:jc w:val="left"/>
            </w:pPr>
            <w:r>
              <w:t xml:space="preserve">Acquisition</w:t>
            </w:r>
          </w:p>
        </w:tc>
        <w:tc>
          <w:tcPr/>
          <w:p>
            <w:pPr>
              <w:pStyle w:val="Compact"/>
              <w:jc w:val="left"/>
            </w:pPr>
            <w:r>
              <w:t xml:space="preserve">62</w:t>
            </w:r>
          </w:p>
        </w:tc>
        <w:tc>
          <w:tcPr/>
          <w:p>
            <w:pPr>
              <w:pStyle w:val="Compact"/>
              <w:jc w:val="left"/>
            </w:pPr>
            <w:r>
              <w:t xml:space="preserve">40.9</w:t>
            </w:r>
          </w:p>
        </w:tc>
        <w:tc>
          <w:tcPr/>
          <w:p>
            <w:pPr>
              <w:pStyle w:val="Compact"/>
              <w:jc w:val="left"/>
            </w:pPr>
            <w:r>
              <w:t xml:space="preserve">3.29x</w:t>
            </w:r>
          </w:p>
        </w:tc>
        <w:tc>
          <w:tcPr/>
          <w:p>
            <w:pPr>
              <w:pStyle w:val="Compact"/>
              <w:jc w:val="left"/>
            </w:pPr>
            <w:r>
              <w:t xml:space="preserve">Completed</w:t>
            </w:r>
          </w:p>
        </w:tc>
      </w:tr>
      <w:tr>
        <w:tc>
          <w:tcPr/>
          <w:p>
            <w:pPr>
              <w:pStyle w:val="Compact"/>
              <w:jc w:val="left"/>
            </w:pPr>
            <w:r>
              <w:t xml:space="preserve">4</w:t>
            </w:r>
          </w:p>
        </w:tc>
        <w:tc>
          <w:tcPr/>
          <w:p>
            <w:pPr>
              <w:pStyle w:val="Compact"/>
              <w:jc w:val="left"/>
            </w:pPr>
            <w:r>
              <w:t xml:space="preserve">B2B Enterprise Push - LinkedIn</w:t>
            </w:r>
          </w:p>
        </w:tc>
        <w:tc>
          <w:tcPr/>
          <w:p>
            <w:pPr>
              <w:pStyle w:val="Compact"/>
              <w:jc w:val="left"/>
            </w:pPr>
            <w:r>
              <w:t xml:space="preserve">Q2</w:t>
            </w:r>
          </w:p>
        </w:tc>
        <w:tc>
          <w:tcPr/>
          <w:p>
            <w:pPr>
              <w:pStyle w:val="Compact"/>
              <w:jc w:val="left"/>
            </w:pPr>
            <w:r>
              <w:t xml:space="preserve">B2B</w:t>
            </w:r>
          </w:p>
        </w:tc>
        <w:tc>
          <w:tcPr/>
          <w:p>
            <w:pPr>
              <w:pStyle w:val="Compact"/>
              <w:jc w:val="left"/>
            </w:pPr>
            <w:r>
              <w:t xml:space="preserve">48</w:t>
            </w:r>
          </w:p>
        </w:tc>
        <w:tc>
          <w:tcPr/>
          <w:p>
            <w:pPr>
              <w:pStyle w:val="Compact"/>
              <w:jc w:val="left"/>
            </w:pPr>
            <w:r>
              <w:t xml:space="preserve">29.4</w:t>
            </w:r>
          </w:p>
        </w:tc>
        <w:tc>
          <w:tcPr/>
          <w:p>
            <w:pPr>
              <w:pStyle w:val="Compact"/>
              <w:jc w:val="left"/>
            </w:pPr>
            <w:r>
              <w:t xml:space="preserve">3.08x</w:t>
            </w:r>
          </w:p>
        </w:tc>
        <w:tc>
          <w:tcPr/>
          <w:p>
            <w:pPr>
              <w:pStyle w:val="Compact"/>
              <w:jc w:val="left"/>
            </w:pPr>
            <w:r>
              <w:t xml:space="preserve">Completed</w:t>
            </w:r>
          </w:p>
        </w:tc>
      </w:tr>
      <w:tr>
        <w:tc>
          <w:tcPr/>
          <w:p>
            <w:pPr>
              <w:pStyle w:val="Compact"/>
              <w:jc w:val="left"/>
            </w:pPr>
            <w:r>
              <w:t xml:space="preserve">5</w:t>
            </w:r>
          </w:p>
        </w:tc>
        <w:tc>
          <w:tcPr/>
          <w:p>
            <w:pPr>
              <w:pStyle w:val="Compact"/>
              <w:jc w:val="left"/>
            </w:pPr>
            <w:r>
              <w:t xml:space="preserve">Latin America Market Entry</w:t>
            </w:r>
          </w:p>
        </w:tc>
        <w:tc>
          <w:tcPr/>
          <w:p>
            <w:pPr>
              <w:pStyle w:val="Compact"/>
              <w:jc w:val="left"/>
            </w:pPr>
            <w:r>
              <w:t xml:space="preserve">Q3</w:t>
            </w:r>
          </w:p>
        </w:tc>
        <w:tc>
          <w:tcPr/>
          <w:p>
            <w:pPr>
              <w:pStyle w:val="Compact"/>
              <w:jc w:val="left"/>
            </w:pPr>
            <w:r>
              <w:t xml:space="preserve">Acquisition</w:t>
            </w:r>
          </w:p>
        </w:tc>
        <w:tc>
          <w:tcPr/>
          <w:p>
            <w:pPr>
              <w:pStyle w:val="Compact"/>
              <w:jc w:val="left"/>
            </w:pPr>
            <w:r>
              <w:t xml:space="preserve">65</w:t>
            </w:r>
          </w:p>
        </w:tc>
        <w:tc>
          <w:tcPr/>
          <w:p>
            <w:pPr>
              <w:pStyle w:val="Compact"/>
              <w:jc w:val="left"/>
            </w:pPr>
            <w:r>
              <w:t xml:space="preserve">43.4</w:t>
            </w:r>
          </w:p>
        </w:tc>
        <w:tc>
          <w:tcPr/>
          <w:p>
            <w:pPr>
              <w:pStyle w:val="Compact"/>
              <w:jc w:val="left"/>
            </w:pPr>
            <w:r>
              <w:t xml:space="preserve">3.33x</w:t>
            </w:r>
          </w:p>
        </w:tc>
        <w:tc>
          <w:tcPr/>
          <w:p>
            <w:pPr>
              <w:pStyle w:val="Compact"/>
              <w:jc w:val="left"/>
            </w:pPr>
            <w:r>
              <w:t xml:space="preserve">Completed</w:t>
            </w:r>
          </w:p>
        </w:tc>
      </w:tr>
      <w:tr>
        <w:tc>
          <w:tcPr/>
          <w:p>
            <w:pPr>
              <w:pStyle w:val="Compact"/>
              <w:jc w:val="left"/>
            </w:pPr>
            <w:r>
              <w:t xml:space="preserve">6</w:t>
            </w:r>
          </w:p>
        </w:tc>
        <w:tc>
          <w:tcPr/>
          <w:p>
            <w:pPr>
              <w:pStyle w:val="Compact"/>
              <w:jc w:val="left"/>
            </w:pPr>
            <w:r>
              <w:t xml:space="preserve">Influencer Partnerships Campaign</w:t>
            </w:r>
          </w:p>
        </w:tc>
        <w:tc>
          <w:tcPr/>
          <w:p>
            <w:pPr>
              <w:pStyle w:val="Compact"/>
              <w:jc w:val="left"/>
            </w:pPr>
            <w:r>
              <w:t xml:space="preserve">Q2</w:t>
            </w:r>
          </w:p>
        </w:tc>
        <w:tc>
          <w:tcPr/>
          <w:p>
            <w:pPr>
              <w:pStyle w:val="Compact"/>
              <w:jc w:val="left"/>
            </w:pPr>
            <w:r>
              <w:t xml:space="preserve">Brand</w:t>
            </w:r>
          </w:p>
        </w:tc>
        <w:tc>
          <w:tcPr/>
          <w:p>
            <w:pPr>
              <w:pStyle w:val="Compact"/>
              <w:jc w:val="left"/>
            </w:pPr>
            <w:r>
              <w:t xml:space="preserve">52</w:t>
            </w:r>
          </w:p>
        </w:tc>
        <w:tc>
          <w:tcPr/>
          <w:p>
            <w:pPr>
              <w:pStyle w:val="Compact"/>
              <w:jc w:val="left"/>
            </w:pPr>
            <w:r>
              <w:t xml:space="preserve">32.6</w:t>
            </w:r>
          </w:p>
        </w:tc>
        <w:tc>
          <w:tcPr/>
          <w:p>
            <w:pPr>
              <w:pStyle w:val="Compact"/>
              <w:jc w:val="left"/>
            </w:pPr>
            <w:r>
              <w:t xml:space="preserve">3.13x</w:t>
            </w:r>
          </w:p>
        </w:tc>
        <w:tc>
          <w:tcPr/>
          <w:p>
            <w:pPr>
              <w:pStyle w:val="Compact"/>
              <w:jc w:val="left"/>
            </w:pPr>
            <w:r>
              <w:t xml:space="preserve">Completed</w:t>
            </w:r>
          </w:p>
        </w:tc>
      </w:tr>
      <w:tr>
        <w:tc>
          <w:tcPr/>
          <w:p>
            <w:pPr>
              <w:pStyle w:val="Compact"/>
              <w:jc w:val="left"/>
            </w:pPr>
            <w:r>
              <w:t xml:space="preserve">7</w:t>
            </w:r>
          </w:p>
        </w:tc>
        <w:tc>
          <w:tcPr/>
          <w:p>
            <w:pPr>
              <w:pStyle w:val="Compact"/>
              <w:jc w:val="left"/>
            </w:pPr>
            <w:r>
              <w:t xml:space="preserve">European Market Entry - UK</w:t>
            </w:r>
          </w:p>
        </w:tc>
        <w:tc>
          <w:tcPr/>
          <w:p>
            <w:pPr>
              <w:pStyle w:val="Compact"/>
              <w:jc w:val="left"/>
            </w:pPr>
            <w:r>
              <w:t xml:space="preserve">Q1</w:t>
            </w:r>
          </w:p>
        </w:tc>
        <w:tc>
          <w:tcPr/>
          <w:p>
            <w:pPr>
              <w:pStyle w:val="Compact"/>
              <w:jc w:val="left"/>
            </w:pPr>
            <w:r>
              <w:t xml:space="preserve">Acquisition</w:t>
            </w:r>
          </w:p>
        </w:tc>
        <w:tc>
          <w:tcPr/>
          <w:p>
            <w:pPr>
              <w:pStyle w:val="Compact"/>
              <w:jc w:val="left"/>
            </w:pPr>
            <w:r>
              <w:t xml:space="preserve">45</w:t>
            </w:r>
          </w:p>
        </w:tc>
        <w:tc>
          <w:tcPr/>
          <w:p>
            <w:pPr>
              <w:pStyle w:val="Compact"/>
              <w:jc w:val="left"/>
            </w:pPr>
            <w:r>
              <w:t xml:space="preserve">25.4</w:t>
            </w:r>
          </w:p>
        </w:tc>
        <w:tc>
          <w:tcPr/>
          <w:p>
            <w:pPr>
              <w:pStyle w:val="Compact"/>
              <w:jc w:val="left"/>
            </w:pPr>
            <w:r>
              <w:t xml:space="preserve">2.89x</w:t>
            </w:r>
          </w:p>
        </w:tc>
        <w:tc>
          <w:tcPr/>
          <w:p>
            <w:pPr>
              <w:pStyle w:val="Compact"/>
              <w:jc w:val="left"/>
            </w:pPr>
            <w:r>
              <w:t xml:space="preserve">Completed</w:t>
            </w:r>
          </w:p>
        </w:tc>
      </w:tr>
      <w:tr>
        <w:tc>
          <w:tcPr/>
          <w:p>
            <w:pPr>
              <w:pStyle w:val="Compact"/>
              <w:jc w:val="left"/>
            </w:pPr>
            <w:r>
              <w:t xml:space="preserve">8</w:t>
            </w:r>
          </w:p>
        </w:tc>
        <w:tc>
          <w:tcPr/>
          <w:p>
            <w:pPr>
              <w:pStyle w:val="Compact"/>
              <w:jc w:val="left"/>
            </w:pPr>
            <w:r>
              <w:t xml:space="preserve">InstantPay Launch Campaign</w:t>
            </w:r>
          </w:p>
        </w:tc>
        <w:tc>
          <w:tcPr/>
          <w:p>
            <w:pPr>
              <w:pStyle w:val="Compact"/>
              <w:jc w:val="left"/>
            </w:pPr>
            <w:r>
              <w:t xml:space="preserve">Q1</w:t>
            </w:r>
          </w:p>
        </w:tc>
        <w:tc>
          <w:tcPr/>
          <w:p>
            <w:pPr>
              <w:pStyle w:val="Compact"/>
              <w:jc w:val="left"/>
            </w:pPr>
            <w:r>
              <w:t xml:space="preserve">Product Launch</w:t>
            </w:r>
          </w:p>
        </w:tc>
        <w:tc>
          <w:tcPr/>
          <w:p>
            <w:pPr>
              <w:pStyle w:val="Compact"/>
              <w:jc w:val="left"/>
            </w:pPr>
            <w:r>
              <w:t xml:space="preserve">52</w:t>
            </w:r>
          </w:p>
        </w:tc>
        <w:tc>
          <w:tcPr/>
          <w:p>
            <w:pPr>
              <w:pStyle w:val="Compact"/>
              <w:jc w:val="left"/>
            </w:pPr>
            <w:r>
              <w:t xml:space="preserve">34.9</w:t>
            </w:r>
          </w:p>
        </w:tc>
        <w:tc>
          <w:tcPr/>
          <w:p>
            <w:pPr>
              <w:pStyle w:val="Compact"/>
              <w:jc w:val="left"/>
            </w:pPr>
            <w:r>
              <w:t xml:space="preserve">3.36x</w:t>
            </w:r>
          </w:p>
        </w:tc>
        <w:tc>
          <w:tcPr/>
          <w:p>
            <w:pPr>
              <w:pStyle w:val="Compact"/>
              <w:jc w:val="left"/>
            </w:pPr>
            <w:r>
              <w:t xml:space="preserve">Completed</w:t>
            </w:r>
          </w:p>
        </w:tc>
      </w:tr>
      <w:tr>
        <w:tc>
          <w:tcPr/>
          <w:p>
            <w:pPr>
              <w:pStyle w:val="Compact"/>
              <w:jc w:val="left"/>
            </w:pPr>
            <w:r>
              <w:t xml:space="preserve">9</w:t>
            </w:r>
          </w:p>
        </w:tc>
        <w:tc>
          <w:tcPr/>
          <w:p>
            <w:pPr>
              <w:pStyle w:val="Compact"/>
              <w:jc w:val="left"/>
            </w:pPr>
            <w:r>
              <w:t xml:space="preserve">New Market Expansion - LATAM</w:t>
            </w:r>
          </w:p>
        </w:tc>
        <w:tc>
          <w:tcPr/>
          <w:p>
            <w:pPr>
              <w:pStyle w:val="Compact"/>
              <w:jc w:val="left"/>
            </w:pPr>
            <w:r>
              <w:t xml:space="preserve">Q4</w:t>
            </w:r>
          </w:p>
        </w:tc>
        <w:tc>
          <w:tcPr/>
          <w:p>
            <w:pPr>
              <w:pStyle w:val="Compact"/>
              <w:jc w:val="left"/>
            </w:pPr>
            <w:r>
              <w:t xml:space="preserve">Acquisition</w:t>
            </w:r>
          </w:p>
        </w:tc>
        <w:tc>
          <w:tcPr/>
          <w:p>
            <w:pPr>
              <w:pStyle w:val="Compact"/>
              <w:jc w:val="left"/>
            </w:pPr>
            <w:r>
              <w:t xml:space="preserve">32</w:t>
            </w:r>
          </w:p>
        </w:tc>
        <w:tc>
          <w:tcPr/>
          <w:p>
            <w:pPr>
              <w:pStyle w:val="Compact"/>
              <w:jc w:val="left"/>
            </w:pPr>
            <w:r>
              <w:t xml:space="preserve">23.1</w:t>
            </w:r>
          </w:p>
        </w:tc>
        <w:tc>
          <w:tcPr/>
          <w:p>
            <w:pPr>
              <w:pStyle w:val="Compact"/>
              <w:jc w:val="left"/>
            </w:pPr>
            <w:r>
              <w:t xml:space="preserve">3.59x</w:t>
            </w:r>
          </w:p>
        </w:tc>
        <w:tc>
          <w:tcPr/>
          <w:p>
            <w:pPr>
              <w:pStyle w:val="Compact"/>
              <w:jc w:val="left"/>
            </w:pPr>
            <w:r>
              <w:t xml:space="preserve">Completed</w:t>
            </w:r>
          </w:p>
        </w:tc>
      </w:tr>
      <w:tr>
        <w:tc>
          <w:tcPr/>
          <w:p>
            <w:pPr>
              <w:pStyle w:val="Compact"/>
              <w:jc w:val="left"/>
            </w:pPr>
            <w:r>
              <w:t xml:space="preserve">10</w:t>
            </w:r>
          </w:p>
        </w:tc>
        <w:tc>
          <w:tcPr/>
          <w:p>
            <w:pPr>
              <w:pStyle w:val="Compact"/>
              <w:jc w:val="left"/>
            </w:pPr>
            <w:r>
              <w:t xml:space="preserve">B2B Enterprise Holiday Push</w:t>
            </w:r>
          </w:p>
        </w:tc>
        <w:tc>
          <w:tcPr/>
          <w:p>
            <w:pPr>
              <w:pStyle w:val="Compact"/>
              <w:jc w:val="left"/>
            </w:pPr>
            <w:r>
              <w:t xml:space="preserve">Q4</w:t>
            </w:r>
          </w:p>
        </w:tc>
        <w:tc>
          <w:tcPr/>
          <w:p>
            <w:pPr>
              <w:pStyle w:val="Compact"/>
              <w:jc w:val="left"/>
            </w:pPr>
            <w:r>
              <w:t xml:space="preserve">B2B</w:t>
            </w:r>
          </w:p>
        </w:tc>
        <w:tc>
          <w:tcPr/>
          <w:p>
            <w:pPr>
              <w:pStyle w:val="Compact"/>
              <w:jc w:val="left"/>
            </w:pPr>
            <w:r>
              <w:t xml:space="preserve">58</w:t>
            </w:r>
          </w:p>
        </w:tc>
        <w:tc>
          <w:tcPr/>
          <w:p>
            <w:pPr>
              <w:pStyle w:val="Compact"/>
              <w:jc w:val="left"/>
            </w:pPr>
            <w:r>
              <w:t xml:space="preserve">38.5</w:t>
            </w:r>
          </w:p>
        </w:tc>
        <w:tc>
          <w:tcPr/>
          <w:p>
            <w:pPr>
              <w:pStyle w:val="Compact"/>
              <w:jc w:val="left"/>
            </w:pPr>
            <w:r>
              <w:t xml:space="preserve">3.31x</w:t>
            </w:r>
          </w:p>
        </w:tc>
        <w:tc>
          <w:tcPr/>
          <w:p>
            <w:pPr>
              <w:pStyle w:val="Compact"/>
              <w:jc w:val="left"/>
            </w:pPr>
            <w:r>
              <w:t xml:space="preserve">Completed</w:t>
            </w:r>
          </w:p>
        </w:tc>
      </w:tr>
    </w:tbl>
    <w:bookmarkEnd w:id="23"/>
    <w:bookmarkStart w:id="24" w:name="campaign-analysis-by-type"/>
    <w:p>
      <w:pPr>
        <w:pStyle w:val="Heading3"/>
      </w:pPr>
      <w:r>
        <w:t xml:space="preserve">Campaign Analysis by Type</w:t>
      </w:r>
    </w:p>
    <w:p>
      <w:pPr>
        <w:pStyle w:val="FirstParagraph"/>
      </w:pPr>
      <w:r>
        <w:rPr>
          <w:b/>
          <w:bCs/>
        </w:rPr>
        <w:t xml:space="preserve">1. Product Launch Campaigns (InstantPay): ₹52 Lakh investment</w:t>
      </w:r>
      <w:r>
        <w:t xml:space="preserve"> </w:t>
      </w:r>
      <w:r>
        <w:t xml:space="preserve">- InstantPay feature launch delivered 3.36x ROI and 52,100 new feature adopters</w:t>
      </w:r>
      <w:r>
        <w:t xml:space="preserve"> </w:t>
      </w:r>
      <w:r>
        <w:t xml:space="preserve">- Multi-channel approach (email, social, in-app, influencers) critical to success</w:t>
      </w:r>
      <w:r>
        <w:t xml:space="preserve"> </w:t>
      </w:r>
      <w:r>
        <w:t xml:space="preserve">- Exceeded sign-up targets by 4%; drove ₹34.9 Lakh revenue</w:t>
      </w:r>
      <w:r>
        <w:t xml:space="preserve"> </w:t>
      </w:r>
      <w:r>
        <w:t xml:space="preserve">- Learnings: Product launch campaigns benefit from integrated multi-channel approach + influencer partnerships</w:t>
      </w:r>
    </w:p>
    <w:p>
      <w:pPr>
        <w:pStyle w:val="BodyText"/>
      </w:pPr>
      <w:r>
        <w:rPr>
          <w:b/>
          <w:bCs/>
        </w:rPr>
        <w:t xml:space="preserve">2. Geographic Expansion Campaigns: ₹189 Lakh investment across 3 regions</w:t>
      </w:r>
      <w:r>
        <w:t xml:space="preserve"> </w:t>
      </w:r>
      <w:r>
        <w:t xml:space="preserve">- European expansion (Q1): 118 Lakh spend across UK, Germany, France; 71,900 customers acquired; 2.89x average ROI</w:t>
      </w:r>
      <w:r>
        <w:t xml:space="preserve"> </w:t>
      </w:r>
      <w:r>
        <w:t xml:space="preserve">- Southeast Asia expansion (Q2): 62 Lakh spend across Singapore, Malaysia, Thailand; 40,500 customers acquired; 3.29x ROI</w:t>
      </w:r>
      <w:r>
        <w:t xml:space="preserve"> </w:t>
      </w:r>
      <w:r>
        <w:t xml:space="preserve">- Latin America expansion (Q3-Q4): 97 Lakh spend across Brazil, Mexico, Colombia; 50,800 customers acquired; 3.46x average ROI</w:t>
      </w:r>
      <w:r>
        <w:t xml:space="preserve"> </w:t>
      </w:r>
      <w:r>
        <w:t xml:space="preserve">- Key learnings: Localized content outperforms global campaigns by 46-81%; regional teams essential</w:t>
      </w:r>
    </w:p>
    <w:p>
      <w:pPr>
        <w:pStyle w:val="BodyText"/>
      </w:pPr>
      <w:r>
        <w:rPr>
          <w:b/>
          <w:bCs/>
        </w:rPr>
        <w:t xml:space="preserve">3. B2B Enterprise Campaigns: ₹164 Lakh investment</w:t>
      </w:r>
      <w:r>
        <w:t xml:space="preserve"> </w:t>
      </w:r>
      <w:r>
        <w:t xml:space="preserve">- Q2 enterprise push: 48 Lakh spend; 4,900 qualified leads; 10 customers closed; ₹29.4 Lakh revenue; 3.08x ROI</w:t>
      </w:r>
      <w:r>
        <w:t xml:space="preserve"> </w:t>
      </w:r>
      <w:r>
        <w:t xml:space="preserve">- Q4 holiday enterprise push: 58 Lakh spend; 5,780 qualified leads; 32 customers closed; ₹38.5 Lakh revenue; 3.31x ROI</w:t>
      </w:r>
      <w:r>
        <w:t xml:space="preserve"> </w:t>
      </w:r>
      <w:r>
        <w:t xml:space="preserve">- Full-year B2B revenue: ₹87.2 Lakh (24.6% of total), with 42 enterprise customers closed and 285 in pipeline</w:t>
      </w:r>
      <w:r>
        <w:t xml:space="preserve"> </w:t>
      </w:r>
      <w:r>
        <w:t xml:space="preserve">- Key learnings: B2B conversion rates 2.4x higher than SMB; account-based marketing and peer-to-peer formats highly effective</w:t>
      </w:r>
    </w:p>
    <w:p>
      <w:pPr>
        <w:pStyle w:val="BodyText"/>
      </w:pPr>
      <w:r>
        <w:rPr>
          <w:b/>
          <w:bCs/>
        </w:rPr>
        <w:t xml:space="preserve">4. Video Content Campaigns: ₹116 Lakh investment</w:t>
      </w:r>
      <w:r>
        <w:t xml:space="preserve"> </w:t>
      </w:r>
      <w:r>
        <w:t xml:space="preserve">- Consistent highest ROI channel: 4.21x average ROAS vs. 3.14x platform average</w:t>
      </w:r>
      <w:r>
        <w:t xml:space="preserve"> </w:t>
      </w:r>
      <w:r>
        <w:t xml:space="preserve">- TikTok/YouTube/Reels combined generated 19,260 conversions from 125K leads</w:t>
      </w:r>
      <w:r>
        <w:t xml:space="preserve"> </w:t>
      </w:r>
      <w:r>
        <w:t xml:space="preserve">- Instagram Reels and TikTok particularly strong: 12-15% engagement rates vs. 4-5% platform benchmarks</w:t>
      </w:r>
      <w:r>
        <w:t xml:space="preserve"> </w:t>
      </w:r>
      <w:r>
        <w:t xml:space="preserve">- Q4 year-end video content: 4.58x ROI (highest single campaign of 2024)</w:t>
      </w:r>
      <w:r>
        <w:t xml:space="preserve"> </w:t>
      </w:r>
      <w:r>
        <w:t xml:space="preserve">- Key learnings: Longer-form educational content (30-60s) outperforms short-form; storytelling drives engagement</w:t>
      </w:r>
    </w:p>
    <w:p>
      <w:pPr>
        <w:pStyle w:val="BodyText"/>
      </w:pPr>
      <w:r>
        <w:rPr>
          <w:b/>
          <w:bCs/>
        </w:rPr>
        <w:t xml:space="preserve">5. Loyalty &amp; Retention Campaigns: ₹138 Lakh investment</w:t>
      </w:r>
      <w:r>
        <w:t xml:space="preserve"> </w:t>
      </w:r>
      <w:r>
        <w:t xml:space="preserve">- Loyalty program launch (Q3): ₹58 Lakh spend; 62,500 program enrollments (35.7% of new customers); 2.34x ROI</w:t>
      </w:r>
      <w:r>
        <w:t xml:space="preserve"> </w:t>
      </w:r>
      <w:r>
        <w:t xml:space="preserve">- Retention-focused email: ₹100 Lakh spend; 13,420 conversions; 2.19x ROI; reduced churn 2.4pp</w:t>
      </w:r>
      <w:r>
        <w:t xml:space="preserve"> </w:t>
      </w:r>
      <w:r>
        <w:t xml:space="preserve">- Referral rewards embedded: 12,400 new customers from referrals (1.8% of annual total but highly engaged cohort)</w:t>
      </w:r>
      <w:r>
        <w:t xml:space="preserve"> </w:t>
      </w:r>
      <w:r>
        <w:t xml:space="preserve">- Key learnings: Loyalty program ROI improves quarter-over-quarter as customer base grows; referral rewards drive high-quality acquisitions</w:t>
      </w:r>
    </w:p>
    <w:p>
      <w:r>
        <w:pict>
          <v:rect style="width:0;height:1.5pt" o:hralign="center" o:hrstd="t" o:hr="t"/>
        </w:pict>
      </w:r>
    </w:p>
    <w:bookmarkEnd w:id="24"/>
    <w:bookmarkEnd w:id="25"/>
    <w:bookmarkStart w:id="26" w:name="channel-performance-summary-2024"/>
    <w:p>
      <w:pPr>
        <w:pStyle w:val="Heading2"/>
      </w:pPr>
      <w:r>
        <w:t xml:space="preserve">Channel Performance Summary (2024)</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Channel</w:t>
            </w:r>
          </w:p>
        </w:tc>
        <w:tc>
          <w:tcPr/>
          <w:p>
            <w:pPr>
              <w:pStyle w:val="Compact"/>
              <w:jc w:val="left"/>
            </w:pPr>
            <w:r>
              <w:t xml:space="preserve">Annual Spend (₹L)</w:t>
            </w:r>
          </w:p>
        </w:tc>
        <w:tc>
          <w:tcPr/>
          <w:p>
            <w:pPr>
              <w:pStyle w:val="Compact"/>
              <w:jc w:val="left"/>
            </w:pPr>
            <w:r>
              <w:t xml:space="preserve">Leads Generated</w:t>
            </w:r>
          </w:p>
        </w:tc>
        <w:tc>
          <w:tcPr/>
          <w:p>
            <w:pPr>
              <w:pStyle w:val="Compact"/>
              <w:jc w:val="left"/>
            </w:pPr>
            <w:r>
              <w:t xml:space="preserve">Conversions</w:t>
            </w:r>
          </w:p>
        </w:tc>
        <w:tc>
          <w:tcPr/>
          <w:p>
            <w:pPr>
              <w:pStyle w:val="Compact"/>
              <w:jc w:val="left"/>
            </w:pPr>
            <w:r>
              <w:t xml:space="preserve">CAC (₹)</w:t>
            </w:r>
          </w:p>
        </w:tc>
        <w:tc>
          <w:tcPr/>
          <w:p>
            <w:pPr>
              <w:pStyle w:val="Compact"/>
              <w:jc w:val="left"/>
            </w:pPr>
            <w:r>
              <w:t xml:space="preserve">ROAS</w:t>
            </w:r>
          </w:p>
        </w:tc>
        <w:tc>
          <w:tcPr/>
          <w:p>
            <w:pPr>
              <w:pStyle w:val="Compact"/>
              <w:jc w:val="left"/>
            </w:pPr>
            <w:r>
              <w:t xml:space="preserve">% of Total Spend</w:t>
            </w:r>
          </w:p>
        </w:tc>
        <w:tc>
          <w:tcPr/>
          <w:p>
            <w:pPr>
              <w:pStyle w:val="Compact"/>
              <w:jc w:val="left"/>
            </w:pPr>
            <w:r>
              <w:t xml:space="preserve">Performance Rating</w:t>
            </w:r>
          </w:p>
        </w:tc>
      </w:tr>
      <w:tr>
        <w:tc>
          <w:tcPr/>
          <w:p>
            <w:pPr>
              <w:pStyle w:val="Compact"/>
              <w:jc w:val="left"/>
            </w:pPr>
            <w:r>
              <w:t xml:space="preserve">Digital Ads (Google, Facebook, LinkedIn)</w:t>
            </w:r>
          </w:p>
        </w:tc>
        <w:tc>
          <w:tcPr/>
          <w:p>
            <w:pPr>
              <w:pStyle w:val="Compact"/>
              <w:jc w:val="left"/>
            </w:pPr>
            <w:r>
              <w:t xml:space="preserve">476</w:t>
            </w:r>
          </w:p>
        </w:tc>
        <w:tc>
          <w:tcPr/>
          <w:p>
            <w:pPr>
              <w:pStyle w:val="Compact"/>
              <w:jc w:val="left"/>
            </w:pPr>
            <w:r>
              <w:t xml:space="preserve">570,500</w:t>
            </w:r>
          </w:p>
        </w:tc>
        <w:tc>
          <w:tcPr/>
          <w:p>
            <w:pPr>
              <w:pStyle w:val="Compact"/>
              <w:jc w:val="left"/>
            </w:pPr>
            <w:r>
              <w:t xml:space="preserve">114,100</w:t>
            </w:r>
          </w:p>
        </w:tc>
        <w:tc>
          <w:tcPr/>
          <w:p>
            <w:pPr>
              <w:pStyle w:val="Compact"/>
              <w:jc w:val="left"/>
            </w:pPr>
            <w:r>
              <w:t xml:space="preserve">4,167</w:t>
            </w:r>
          </w:p>
        </w:tc>
        <w:tc>
          <w:tcPr/>
          <w:p>
            <w:pPr>
              <w:pStyle w:val="Compact"/>
              <w:jc w:val="left"/>
            </w:pPr>
            <w:r>
              <w:t xml:space="preserve">3.24x</w:t>
            </w:r>
          </w:p>
        </w:tc>
        <w:tc>
          <w:tcPr/>
          <w:p>
            <w:pPr>
              <w:pStyle w:val="Compact"/>
              <w:jc w:val="left"/>
            </w:pPr>
            <w:r>
              <w:t xml:space="preserve">35.8%</w:t>
            </w:r>
          </w:p>
        </w:tc>
        <w:tc>
          <w:tcPr/>
          <w:p>
            <w:pPr>
              <w:pStyle w:val="Compact"/>
              <w:jc w:val="left"/>
            </w:pPr>
            <w:r>
              <w:t xml:space="preserve">Excellent</w:t>
            </w:r>
          </w:p>
        </w:tc>
      </w:tr>
      <w:tr>
        <w:tc>
          <w:tcPr/>
          <w:p>
            <w:pPr>
              <w:pStyle w:val="Compact"/>
              <w:jc w:val="left"/>
            </w:pPr>
            <w:r>
              <w:t xml:space="preserve">Email Marketing (Retention + Acquisition)</w:t>
            </w:r>
          </w:p>
        </w:tc>
        <w:tc>
          <w:tcPr/>
          <w:p>
            <w:pPr>
              <w:pStyle w:val="Compact"/>
              <w:jc w:val="left"/>
            </w:pPr>
            <w:r>
              <w:t xml:space="preserve">193</w:t>
            </w:r>
          </w:p>
        </w:tc>
        <w:tc>
          <w:tcPr/>
          <w:p>
            <w:pPr>
              <w:pStyle w:val="Compact"/>
              <w:jc w:val="left"/>
            </w:pPr>
            <w:r>
              <w:t xml:space="preserve">255,000</w:t>
            </w:r>
          </w:p>
        </w:tc>
        <w:tc>
          <w:tcPr/>
          <w:p>
            <w:pPr>
              <w:pStyle w:val="Compact"/>
              <w:jc w:val="left"/>
            </w:pPr>
            <w:r>
              <w:t xml:space="preserve">46,260</w:t>
            </w:r>
          </w:p>
        </w:tc>
        <w:tc>
          <w:tcPr/>
          <w:p>
            <w:pPr>
              <w:pStyle w:val="Compact"/>
              <w:jc w:val="left"/>
            </w:pPr>
            <w:r>
              <w:t xml:space="preserve">4,169</w:t>
            </w:r>
          </w:p>
        </w:tc>
        <w:tc>
          <w:tcPr/>
          <w:p>
            <w:pPr>
              <w:pStyle w:val="Compact"/>
              <w:jc w:val="left"/>
            </w:pPr>
            <w:r>
              <w:t xml:space="preserve">2.35x</w:t>
            </w:r>
          </w:p>
        </w:tc>
        <w:tc>
          <w:tcPr/>
          <w:p>
            <w:pPr>
              <w:pStyle w:val="Compact"/>
              <w:jc w:val="left"/>
            </w:pPr>
            <w:r>
              <w:t xml:space="preserve">14.5%</w:t>
            </w:r>
          </w:p>
        </w:tc>
        <w:tc>
          <w:tcPr/>
          <w:p>
            <w:pPr>
              <w:pStyle w:val="Compact"/>
              <w:jc w:val="left"/>
            </w:pPr>
            <w:r>
              <w:t xml:space="preserve">Good</w:t>
            </w:r>
          </w:p>
        </w:tc>
      </w:tr>
      <w:tr>
        <w:tc>
          <w:tcPr/>
          <w:p>
            <w:pPr>
              <w:pStyle w:val="Compact"/>
              <w:jc w:val="left"/>
            </w:pPr>
            <w:r>
              <w:t xml:space="preserve">Video Content (YouTube, TikTok, Reels)</w:t>
            </w:r>
          </w:p>
        </w:tc>
        <w:tc>
          <w:tcPr/>
          <w:p>
            <w:pPr>
              <w:pStyle w:val="Compact"/>
              <w:jc w:val="left"/>
            </w:pPr>
            <w:r>
              <w:t xml:space="preserve">116</w:t>
            </w:r>
          </w:p>
        </w:tc>
        <w:tc>
          <w:tcPr/>
          <w:p>
            <w:pPr>
              <w:pStyle w:val="Compact"/>
              <w:jc w:val="left"/>
            </w:pPr>
            <w:r>
              <w:t xml:space="preserve">125,000</w:t>
            </w:r>
          </w:p>
        </w:tc>
        <w:tc>
          <w:tcPr/>
          <w:p>
            <w:pPr>
              <w:pStyle w:val="Compact"/>
              <w:jc w:val="left"/>
            </w:pPr>
            <w:r>
              <w:t xml:space="preserve">19,260</w:t>
            </w:r>
          </w:p>
        </w:tc>
        <w:tc>
          <w:tcPr/>
          <w:p>
            <w:pPr>
              <w:pStyle w:val="Compact"/>
              <w:jc w:val="left"/>
            </w:pPr>
            <w:r>
              <w:t xml:space="preserve">6,024</w:t>
            </w:r>
          </w:p>
        </w:tc>
        <w:tc>
          <w:tcPr/>
          <w:p>
            <w:pPr>
              <w:pStyle w:val="Compact"/>
              <w:jc w:val="left"/>
            </w:pPr>
            <w:r>
              <w:t xml:space="preserve">4.21x</w:t>
            </w:r>
          </w:p>
        </w:tc>
        <w:tc>
          <w:tcPr/>
          <w:p>
            <w:pPr>
              <w:pStyle w:val="Compact"/>
              <w:jc w:val="left"/>
            </w:pPr>
            <w:r>
              <w:t xml:space="preserve">8.7%</w:t>
            </w:r>
          </w:p>
        </w:tc>
        <w:tc>
          <w:tcPr/>
          <w:p>
            <w:pPr>
              <w:pStyle w:val="Compact"/>
              <w:jc w:val="left"/>
            </w:pPr>
            <w:r>
              <w:t xml:space="preserve">Excellent</w:t>
            </w:r>
          </w:p>
        </w:tc>
      </w:tr>
      <w:tr>
        <w:tc>
          <w:tcPr/>
          <w:p>
            <w:pPr>
              <w:pStyle w:val="Compact"/>
              <w:jc w:val="left"/>
            </w:pPr>
            <w:r>
              <w:t xml:space="preserve">Paid Search (Google, Bing)</w:t>
            </w:r>
          </w:p>
        </w:tc>
        <w:tc>
          <w:tcPr/>
          <w:p>
            <w:pPr>
              <w:pStyle w:val="Compact"/>
              <w:jc w:val="left"/>
            </w:pPr>
            <w:r>
              <w:t xml:space="preserve">125</w:t>
            </w:r>
          </w:p>
        </w:tc>
        <w:tc>
          <w:tcPr/>
          <w:p>
            <w:pPr>
              <w:pStyle w:val="Compact"/>
              <w:jc w:val="left"/>
            </w:pPr>
            <w:r>
              <w:t xml:space="preserve">165,000</w:t>
            </w:r>
          </w:p>
        </w:tc>
        <w:tc>
          <w:tcPr/>
          <w:p>
            <w:pPr>
              <w:pStyle w:val="Compact"/>
              <w:jc w:val="left"/>
            </w:pPr>
            <w:r>
              <w:t xml:space="preserve">28,880</w:t>
            </w:r>
          </w:p>
        </w:tc>
        <w:tc>
          <w:tcPr/>
          <w:p>
            <w:pPr>
              <w:pStyle w:val="Compact"/>
              <w:jc w:val="left"/>
            </w:pPr>
            <w:r>
              <w:t xml:space="preserve">4,329</w:t>
            </w:r>
          </w:p>
        </w:tc>
        <w:tc>
          <w:tcPr/>
          <w:p>
            <w:pPr>
              <w:pStyle w:val="Compact"/>
              <w:jc w:val="left"/>
            </w:pPr>
            <w:r>
              <w:t xml:space="preserve">3.32x</w:t>
            </w:r>
          </w:p>
        </w:tc>
        <w:tc>
          <w:tcPr/>
          <w:p>
            <w:pPr>
              <w:pStyle w:val="Compact"/>
              <w:jc w:val="left"/>
            </w:pPr>
            <w:r>
              <w:t xml:space="preserve">9.4%</w:t>
            </w:r>
          </w:p>
        </w:tc>
        <w:tc>
          <w:tcPr/>
          <w:p>
            <w:pPr>
              <w:pStyle w:val="Compact"/>
              <w:jc w:val="left"/>
            </w:pPr>
            <w:r>
              <w:t xml:space="preserve">Excellent</w:t>
            </w:r>
          </w:p>
        </w:tc>
      </w:tr>
      <w:tr>
        <w:tc>
          <w:tcPr/>
          <w:p>
            <w:pPr>
              <w:pStyle w:val="Compact"/>
              <w:jc w:val="left"/>
            </w:pPr>
            <w:r>
              <w:t xml:space="preserve">Influencer Marketing</w:t>
            </w:r>
          </w:p>
        </w:tc>
        <w:tc>
          <w:tcPr/>
          <w:p>
            <w:pPr>
              <w:pStyle w:val="Compact"/>
              <w:jc w:val="left"/>
            </w:pPr>
            <w:r>
              <w:t xml:space="preserve">140</w:t>
            </w:r>
          </w:p>
        </w:tc>
        <w:tc>
          <w:tcPr/>
          <w:p>
            <w:pPr>
              <w:pStyle w:val="Compact"/>
              <w:jc w:val="left"/>
            </w:pPr>
            <w:r>
              <w:t xml:space="preserve">168,000</w:t>
            </w:r>
          </w:p>
        </w:tc>
        <w:tc>
          <w:tcPr/>
          <w:p>
            <w:pPr>
              <w:pStyle w:val="Compact"/>
              <w:jc w:val="left"/>
            </w:pPr>
            <w:r>
              <w:t xml:space="preserve">28,100</w:t>
            </w:r>
          </w:p>
        </w:tc>
        <w:tc>
          <w:tcPr/>
          <w:p>
            <w:pPr>
              <w:pStyle w:val="Compact"/>
              <w:jc w:val="left"/>
            </w:pPr>
            <w:r>
              <w:t xml:space="preserve">4,980</w:t>
            </w:r>
          </w:p>
        </w:tc>
        <w:tc>
          <w:tcPr/>
          <w:p>
            <w:pPr>
              <w:pStyle w:val="Compact"/>
              <w:jc w:val="left"/>
            </w:pPr>
            <w:r>
              <w:t xml:space="preserve">3.08x</w:t>
            </w:r>
          </w:p>
        </w:tc>
        <w:tc>
          <w:tcPr/>
          <w:p>
            <w:pPr>
              <w:pStyle w:val="Compact"/>
              <w:jc w:val="left"/>
            </w:pPr>
            <w:r>
              <w:t xml:space="preserve">10.5%</w:t>
            </w:r>
          </w:p>
        </w:tc>
        <w:tc>
          <w:tcPr/>
          <w:p>
            <w:pPr>
              <w:pStyle w:val="Compact"/>
              <w:jc w:val="left"/>
            </w:pPr>
            <w:r>
              <w:t xml:space="preserve">Excellent</w:t>
            </w:r>
          </w:p>
        </w:tc>
      </w:tr>
      <w:tr>
        <w:tc>
          <w:tcPr/>
          <w:p>
            <w:pPr>
              <w:pStyle w:val="Compact"/>
              <w:jc w:val="left"/>
            </w:pPr>
            <w:r>
              <w:t xml:space="preserve">Events &amp; Sponsorships</w:t>
            </w:r>
          </w:p>
        </w:tc>
        <w:tc>
          <w:tcPr/>
          <w:p>
            <w:pPr>
              <w:pStyle w:val="Compact"/>
              <w:jc w:val="left"/>
            </w:pPr>
            <w:r>
              <w:t xml:space="preserve">131</w:t>
            </w:r>
          </w:p>
        </w:tc>
        <w:tc>
          <w:tcPr/>
          <w:p>
            <w:pPr>
              <w:pStyle w:val="Compact"/>
              <w:jc w:val="left"/>
            </w:pPr>
            <w:r>
              <w:t xml:space="preserve">54,000</w:t>
            </w:r>
          </w:p>
        </w:tc>
        <w:tc>
          <w:tcPr/>
          <w:p>
            <w:pPr>
              <w:pStyle w:val="Compact"/>
              <w:jc w:val="left"/>
            </w:pPr>
            <w:r>
              <w:t xml:space="preserve">7,200</w:t>
            </w:r>
          </w:p>
        </w:tc>
        <w:tc>
          <w:tcPr/>
          <w:p>
            <w:pPr>
              <w:pStyle w:val="Compact"/>
              <w:jc w:val="left"/>
            </w:pPr>
            <w:r>
              <w:t xml:space="preserve">18,194</w:t>
            </w:r>
          </w:p>
        </w:tc>
        <w:tc>
          <w:tcPr/>
          <w:p>
            <w:pPr>
              <w:pStyle w:val="Compact"/>
              <w:jc w:val="left"/>
            </w:pPr>
            <w:r>
              <w:t xml:space="preserve">1.04x</w:t>
            </w:r>
          </w:p>
        </w:tc>
        <w:tc>
          <w:tcPr/>
          <w:p>
            <w:pPr>
              <w:pStyle w:val="Compact"/>
              <w:jc w:val="left"/>
            </w:pPr>
            <w:r>
              <w:t xml:space="preserve">9.8%</w:t>
            </w:r>
          </w:p>
        </w:tc>
        <w:tc>
          <w:tcPr/>
          <w:p>
            <w:pPr>
              <w:pStyle w:val="Compact"/>
              <w:jc w:val="left"/>
            </w:pPr>
            <w:r>
              <w:t xml:space="preserve">Poor</w:t>
            </w:r>
          </w:p>
        </w:tc>
      </w:tr>
      <w:tr>
        <w:tc>
          <w:tcPr/>
          <w:p>
            <w:pPr>
              <w:pStyle w:val="Compact"/>
              <w:jc w:val="left"/>
            </w:pPr>
            <w:r>
              <w:t xml:space="preserve">SMS &amp; Push Notifications</w:t>
            </w:r>
          </w:p>
        </w:tc>
        <w:tc>
          <w:tcPr/>
          <w:p>
            <w:pPr>
              <w:pStyle w:val="Compact"/>
              <w:jc w:val="left"/>
            </w:pPr>
            <w:r>
              <w:t xml:space="preserve">38</w:t>
            </w:r>
          </w:p>
        </w:tc>
        <w:tc>
          <w:tcPr/>
          <w:p>
            <w:pPr>
              <w:pStyle w:val="Compact"/>
              <w:jc w:val="left"/>
            </w:pPr>
            <w:r>
              <w:t xml:space="preserve">48,500</w:t>
            </w:r>
          </w:p>
        </w:tc>
        <w:tc>
          <w:tcPr/>
          <w:p>
            <w:pPr>
              <w:pStyle w:val="Compact"/>
              <w:jc w:val="left"/>
            </w:pPr>
            <w:r>
              <w:t xml:space="preserve">6,400</w:t>
            </w:r>
          </w:p>
        </w:tc>
        <w:tc>
          <w:tcPr/>
          <w:p>
            <w:pPr>
              <w:pStyle w:val="Compact"/>
              <w:jc w:val="left"/>
            </w:pPr>
            <w:r>
              <w:t xml:space="preserve">5,938</w:t>
            </w:r>
          </w:p>
        </w:tc>
        <w:tc>
          <w:tcPr/>
          <w:p>
            <w:pPr>
              <w:pStyle w:val="Compact"/>
              <w:jc w:val="left"/>
            </w:pPr>
            <w:r>
              <w:t xml:space="preserve">3.08x</w:t>
            </w:r>
          </w:p>
        </w:tc>
        <w:tc>
          <w:tcPr/>
          <w:p>
            <w:pPr>
              <w:pStyle w:val="Compact"/>
              <w:jc w:val="left"/>
            </w:pPr>
            <w:r>
              <w:t xml:space="preserve">2.9%</w:t>
            </w:r>
          </w:p>
        </w:tc>
        <w:tc>
          <w:tcPr/>
          <w:p>
            <w:pPr>
              <w:pStyle w:val="Compact"/>
              <w:jc w:val="left"/>
            </w:pPr>
            <w:r>
              <w:t xml:space="preserve">Good</w:t>
            </w:r>
          </w:p>
        </w:tc>
      </w:tr>
      <w:tr>
        <w:tc>
          <w:tcPr/>
          <w:p>
            <w:pPr>
              <w:pStyle w:val="Compact"/>
              <w:jc w:val="left"/>
            </w:pPr>
            <w:r>
              <w:t xml:space="preserve">Content Marketing (Organic + Paid)</w:t>
            </w:r>
          </w:p>
        </w:tc>
        <w:tc>
          <w:tcPr/>
          <w:p>
            <w:pPr>
              <w:pStyle w:val="Compact"/>
              <w:jc w:val="left"/>
            </w:pPr>
            <w:r>
              <w:t xml:space="preserve">98</w:t>
            </w:r>
          </w:p>
        </w:tc>
        <w:tc>
          <w:tcPr/>
          <w:p>
            <w:pPr>
              <w:pStyle w:val="Compact"/>
              <w:jc w:val="left"/>
            </w:pPr>
            <w:r>
              <w:t xml:space="preserve">90,000</w:t>
            </w:r>
          </w:p>
        </w:tc>
        <w:tc>
          <w:tcPr/>
          <w:p>
            <w:pPr>
              <w:pStyle w:val="Compact"/>
              <w:jc w:val="left"/>
            </w:pPr>
            <w:r>
              <w:t xml:space="preserve">15,340</w:t>
            </w:r>
          </w:p>
        </w:tc>
        <w:tc>
          <w:tcPr/>
          <w:p>
            <w:pPr>
              <w:pStyle w:val="Compact"/>
              <w:jc w:val="left"/>
            </w:pPr>
            <w:r>
              <w:t xml:space="preserve">6,373</w:t>
            </w:r>
          </w:p>
        </w:tc>
        <w:tc>
          <w:tcPr/>
          <w:p>
            <w:pPr>
              <w:pStyle w:val="Compact"/>
              <w:jc w:val="left"/>
            </w:pPr>
            <w:r>
              <w:t xml:space="preserve">1.82x</w:t>
            </w:r>
          </w:p>
        </w:tc>
        <w:tc>
          <w:tcPr/>
          <w:p>
            <w:pPr>
              <w:pStyle w:val="Compact"/>
              <w:jc w:val="left"/>
            </w:pPr>
            <w:r>
              <w:t xml:space="preserve">7.4%</w:t>
            </w:r>
          </w:p>
        </w:tc>
        <w:tc>
          <w:tcPr/>
          <w:p>
            <w:pPr>
              <w:pStyle w:val="Compact"/>
              <w:jc w:val="left"/>
            </w:pPr>
            <w:r>
              <w:t xml:space="preserve">Fair</w:t>
            </w:r>
          </w:p>
        </w:tc>
      </w:tr>
      <w:tr>
        <w:tc>
          <w:tcPr/>
          <w:p>
            <w:pPr>
              <w:pStyle w:val="Compact"/>
              <w:jc w:val="left"/>
            </w:pPr>
            <w:r>
              <w:t xml:space="preserve">Partnerships &amp; Co-marketing</w:t>
            </w:r>
          </w:p>
        </w:tc>
        <w:tc>
          <w:tcPr/>
          <w:p>
            <w:pPr>
              <w:pStyle w:val="Compact"/>
              <w:jc w:val="left"/>
            </w:pPr>
            <w:r>
              <w:t xml:space="preserve">58</w:t>
            </w:r>
          </w:p>
        </w:tc>
        <w:tc>
          <w:tcPr/>
          <w:p>
            <w:pPr>
              <w:pStyle w:val="Compact"/>
              <w:jc w:val="left"/>
            </w:pPr>
            <w:r>
              <w:t xml:space="preserve">42,500</w:t>
            </w:r>
          </w:p>
        </w:tc>
        <w:tc>
          <w:tcPr/>
          <w:p>
            <w:pPr>
              <w:pStyle w:val="Compact"/>
              <w:jc w:val="left"/>
            </w:pPr>
            <w:r>
              <w:t xml:space="preserve">5,600</w:t>
            </w:r>
          </w:p>
        </w:tc>
        <w:tc>
          <w:tcPr/>
          <w:p>
            <w:pPr>
              <w:pStyle w:val="Compact"/>
              <w:jc w:val="left"/>
            </w:pPr>
            <w:r>
              <w:t xml:space="preserve">10,357</w:t>
            </w:r>
          </w:p>
        </w:tc>
        <w:tc>
          <w:tcPr/>
          <w:p>
            <w:pPr>
              <w:pStyle w:val="Compact"/>
              <w:jc w:val="left"/>
            </w:pPr>
            <w:r>
              <w:t xml:space="preserve">1.47x</w:t>
            </w:r>
          </w:p>
        </w:tc>
        <w:tc>
          <w:tcPr/>
          <w:p>
            <w:pPr>
              <w:pStyle w:val="Compact"/>
              <w:jc w:val="left"/>
            </w:pPr>
            <w:r>
              <w:t xml:space="preserve">4.4%</w:t>
            </w:r>
          </w:p>
        </w:tc>
        <w:tc>
          <w:tcPr/>
          <w:p>
            <w:pPr>
              <w:pStyle w:val="Compact"/>
              <w:jc w:val="left"/>
            </w:pPr>
            <w:r>
              <w:t xml:space="preserve">Poor</w:t>
            </w:r>
          </w:p>
        </w:tc>
      </w:tr>
      <w:tr>
        <w:tc>
          <w:tcPr/>
          <w:p>
            <w:pPr>
              <w:pStyle w:val="Compact"/>
              <w:jc w:val="left"/>
            </w:pPr>
            <w:r>
              <w:t xml:space="preserve">Organic Social Media</w:t>
            </w:r>
          </w:p>
        </w:tc>
        <w:tc>
          <w:tcPr/>
          <w:p>
            <w:pPr>
              <w:pStyle w:val="Compact"/>
              <w:jc w:val="left"/>
            </w:pPr>
            <w:r>
              <w:t xml:space="preserve">20</w:t>
            </w:r>
          </w:p>
        </w:tc>
        <w:tc>
          <w:tcPr/>
          <w:p>
            <w:pPr>
              <w:pStyle w:val="Compact"/>
              <w:jc w:val="left"/>
            </w:pPr>
            <w:r>
              <w:t xml:space="preserve">50,000</w:t>
            </w:r>
          </w:p>
        </w:tc>
        <w:tc>
          <w:tcPr/>
          <w:p>
            <w:pPr>
              <w:pStyle w:val="Compact"/>
              <w:jc w:val="left"/>
            </w:pPr>
            <w:r>
              <w:t xml:space="preserve">4,680</w:t>
            </w:r>
          </w:p>
        </w:tc>
        <w:tc>
          <w:tcPr/>
          <w:p>
            <w:pPr>
              <w:pStyle w:val="Compact"/>
              <w:jc w:val="left"/>
            </w:pPr>
            <w:r>
              <w:t xml:space="preserve">4,274</w:t>
            </w:r>
          </w:p>
        </w:tc>
        <w:tc>
          <w:tcPr/>
          <w:p>
            <w:pPr>
              <w:pStyle w:val="Compact"/>
              <w:jc w:val="left"/>
            </w:pPr>
            <w:r>
              <w:t xml:space="preserve">Organic</w:t>
            </w:r>
          </w:p>
        </w:tc>
        <w:tc>
          <w:tcPr/>
          <w:p>
            <w:pPr>
              <w:pStyle w:val="Compact"/>
              <w:jc w:val="left"/>
            </w:pPr>
            <w:r>
              <w:t xml:space="preserve">1.5%</w:t>
            </w:r>
          </w:p>
        </w:tc>
        <w:tc>
          <w:tcPr/>
          <w:p>
            <w:pPr>
              <w:pStyle w:val="Compact"/>
              <w:jc w:val="left"/>
            </w:pPr>
            <w:r>
              <w:t xml:space="preserve">Good</w:t>
            </w:r>
          </w:p>
        </w:tc>
      </w:tr>
    </w:tbl>
    <w:p>
      <w:pPr>
        <w:pStyle w:val="BodyText"/>
      </w:pPr>
      <w:r>
        <w:rPr>
          <w:b/>
          <w:bCs/>
        </w:rPr>
        <w:t xml:space="preserve">Key Insights:</w:t>
      </w:r>
      <w:r>
        <w:t xml:space="preserve"> </w:t>
      </w:r>
      <w:r>
        <w:t xml:space="preserve">-</w:t>
      </w:r>
      <w:r>
        <w:t xml:space="preserve"> </w:t>
      </w:r>
      <w:r>
        <w:rPr>
          <w:b/>
          <w:bCs/>
        </w:rPr>
        <w:t xml:space="preserve">High ROI Leaders:</w:t>
      </w:r>
      <w:r>
        <w:t xml:space="preserve"> </w:t>
      </w:r>
      <w:r>
        <w:t xml:space="preserve">Digital Ads (3.24x), Video Content (4.21x), Paid Search (3.32x)</w:t>
      </w:r>
      <w:r>
        <w:t xml:space="preserve"> </w:t>
      </w:r>
      <w:r>
        <w:t xml:space="preserve">-</w:t>
      </w:r>
      <w:r>
        <w:t xml:space="preserve"> </w:t>
      </w:r>
      <w:r>
        <w:rPr>
          <w:b/>
          <w:bCs/>
        </w:rPr>
        <w:t xml:space="preserve">Underperformers:</w:t>
      </w:r>
      <w:r>
        <w:t xml:space="preserve"> </w:t>
      </w:r>
      <w:r>
        <w:t xml:space="preserve">Events &amp; Sponsorships (1.04x), Partnerships (1.47x) — recommend reallocating ₹189 Lakh to high-ROI channels</w:t>
      </w:r>
      <w:r>
        <w:t xml:space="preserve"> </w:t>
      </w:r>
      <w:r>
        <w:t xml:space="preserve">-</w:t>
      </w:r>
      <w:r>
        <w:t xml:space="preserve"> </w:t>
      </w:r>
      <w:r>
        <w:rPr>
          <w:b/>
          <w:bCs/>
        </w:rPr>
        <w:t xml:space="preserve">Channel Mix:</w:t>
      </w:r>
      <w:r>
        <w:t xml:space="preserve"> </w:t>
      </w:r>
      <w:r>
        <w:t xml:space="preserve">Digital-first approach (73.6% of spend on digital channels) driving superior outcomes</w:t>
      </w:r>
      <w:r>
        <w:t xml:space="preserve"> </w:t>
      </w:r>
      <w:r>
        <w:t xml:space="preserve">-</w:t>
      </w:r>
      <w:r>
        <w:t xml:space="preserve"> </w:t>
      </w:r>
      <w:r>
        <w:rPr>
          <w:b/>
          <w:bCs/>
        </w:rPr>
        <w:t xml:space="preserve">CAC by Channel:</w:t>
      </w:r>
      <w:r>
        <w:t xml:space="preserve"> </w:t>
      </w:r>
      <w:r>
        <w:t xml:space="preserve">Most efficient acquisition through digital ads (₹4,167) and email (₹4,169)</w:t>
      </w:r>
    </w:p>
    <w:p>
      <w:r>
        <w:pict>
          <v:rect style="width:0;height:1.5pt" o:hralign="center" o:hrstd="t" o:hr="t"/>
        </w:pict>
      </w:r>
    </w:p>
    <w:bookmarkEnd w:id="26"/>
    <w:bookmarkStart w:id="27" w:name="geographic-market-performance-2024"/>
    <w:p>
      <w:pPr>
        <w:pStyle w:val="Heading2"/>
      </w:pPr>
      <w:r>
        <w:t xml:space="preserve">Geographic Market Performance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Market</w:t>
            </w:r>
          </w:p>
        </w:tc>
        <w:tc>
          <w:tcPr/>
          <w:p>
            <w:pPr>
              <w:pStyle w:val="Compact"/>
              <w:jc w:val="left"/>
            </w:pPr>
            <w:r>
              <w:t xml:space="preserve">Customers Acquired</w:t>
            </w:r>
          </w:p>
        </w:tc>
        <w:tc>
          <w:tcPr/>
          <w:p>
            <w:pPr>
              <w:pStyle w:val="Compact"/>
              <w:jc w:val="left"/>
            </w:pPr>
            <w:r>
              <w:t xml:space="preserve">Revenue (₹L)</w:t>
            </w:r>
          </w:p>
        </w:tc>
        <w:tc>
          <w:tcPr/>
          <w:p>
            <w:pPr>
              <w:pStyle w:val="Compact"/>
              <w:jc w:val="left"/>
            </w:pPr>
            <w:r>
              <w:t xml:space="preserve">Market Share</w:t>
            </w:r>
          </w:p>
        </w:tc>
        <w:tc>
          <w:tcPr/>
          <w:p>
            <w:pPr>
              <w:pStyle w:val="Compact"/>
              <w:jc w:val="left"/>
            </w:pPr>
            <w:r>
              <w:t xml:space="preserve">Entry/Status</w:t>
            </w:r>
          </w:p>
        </w:tc>
        <w:tc>
          <w:tcPr/>
          <w:p>
            <w:pPr>
              <w:pStyle w:val="Compact"/>
              <w:jc w:val="left"/>
            </w:pPr>
            <w:r>
              <w:t xml:space="preserve">Key Strategy</w:t>
            </w:r>
          </w:p>
        </w:tc>
      </w:tr>
      <w:tr>
        <w:tc>
          <w:tcPr/>
          <w:p>
            <w:pPr>
              <w:pStyle w:val="Compact"/>
              <w:jc w:val="left"/>
            </w:pPr>
            <w:r>
              <w:t xml:space="preserve">India (Core)</w:t>
            </w:r>
          </w:p>
        </w:tc>
        <w:tc>
          <w:tcPr/>
          <w:p>
            <w:pPr>
              <w:pStyle w:val="Compact"/>
              <w:jc w:val="left"/>
            </w:pPr>
            <w:r>
              <w:t xml:space="preserve">423,700</w:t>
            </w:r>
          </w:p>
        </w:tc>
        <w:tc>
          <w:tcPr/>
          <w:p>
            <w:pPr>
              <w:pStyle w:val="Compact"/>
              <w:jc w:val="left"/>
            </w:pPr>
            <w:r>
              <w:t xml:space="preserve">280.2</w:t>
            </w:r>
          </w:p>
        </w:tc>
        <w:tc>
          <w:tcPr/>
          <w:p>
            <w:pPr>
              <w:pStyle w:val="Compact"/>
              <w:jc w:val="left"/>
            </w:pPr>
            <w:r>
              <w:t xml:space="preserve">61.8%</w:t>
            </w:r>
          </w:p>
        </w:tc>
        <w:tc>
          <w:tcPr/>
          <w:p>
            <w:pPr>
              <w:pStyle w:val="Compact"/>
              <w:jc w:val="left"/>
            </w:pPr>
            <w:r>
              <w:t xml:space="preserve">Existing</w:t>
            </w:r>
          </w:p>
        </w:tc>
        <w:tc>
          <w:tcPr/>
          <w:p>
            <w:pPr>
              <w:pStyle w:val="Compact"/>
              <w:jc w:val="left"/>
            </w:pPr>
            <w:r>
              <w:t xml:space="preserve">Retention + domestic acquisition</w:t>
            </w:r>
          </w:p>
        </w:tc>
      </w:tr>
      <w:tr>
        <w:tc>
          <w:tcPr/>
          <w:p>
            <w:pPr>
              <w:pStyle w:val="Compact"/>
              <w:jc w:val="left"/>
            </w:pPr>
            <w:r>
              <w:t xml:space="preserve">United Kingdom</w:t>
            </w:r>
          </w:p>
        </w:tc>
        <w:tc>
          <w:tcPr/>
          <w:p>
            <w:pPr>
              <w:pStyle w:val="Compact"/>
              <w:jc w:val="left"/>
            </w:pPr>
            <w:r>
              <w:t xml:space="preserve">150,600</w:t>
            </w:r>
          </w:p>
        </w:tc>
        <w:tc>
          <w:tcPr/>
          <w:p>
            <w:pPr>
              <w:pStyle w:val="Compact"/>
              <w:jc w:val="left"/>
            </w:pPr>
            <w:r>
              <w:t xml:space="preserve">136.0</w:t>
            </w:r>
          </w:p>
        </w:tc>
        <w:tc>
          <w:tcPr/>
          <w:p>
            <w:pPr>
              <w:pStyle w:val="Compact"/>
              <w:jc w:val="left"/>
            </w:pPr>
            <w:r>
              <w:t xml:space="preserve">5.6%</w:t>
            </w:r>
          </w:p>
        </w:tc>
        <w:tc>
          <w:tcPr/>
          <w:p>
            <w:pPr>
              <w:pStyle w:val="Compact"/>
              <w:jc w:val="left"/>
            </w:pPr>
            <w:r>
              <w:t xml:space="preserve">Q1 Entry</w:t>
            </w:r>
          </w:p>
        </w:tc>
        <w:tc>
          <w:tcPr/>
          <w:p>
            <w:pPr>
              <w:pStyle w:val="Compact"/>
              <w:jc w:val="left"/>
            </w:pPr>
            <w:r>
              <w:t xml:space="preserve">European hub; enterprise focus</w:t>
            </w:r>
          </w:p>
        </w:tc>
      </w:tr>
      <w:tr>
        <w:tc>
          <w:tcPr/>
          <w:p>
            <w:pPr>
              <w:pStyle w:val="Compact"/>
              <w:jc w:val="left"/>
            </w:pPr>
            <w:r>
              <w:t xml:space="preserve">Germany</w:t>
            </w:r>
          </w:p>
        </w:tc>
        <w:tc>
          <w:tcPr/>
          <w:p>
            <w:pPr>
              <w:pStyle w:val="Compact"/>
              <w:jc w:val="left"/>
            </w:pPr>
            <w:r>
              <w:t xml:space="preserve">147,000</w:t>
            </w:r>
          </w:p>
        </w:tc>
        <w:tc>
          <w:tcPr/>
          <w:p>
            <w:pPr>
              <w:pStyle w:val="Compact"/>
              <w:jc w:val="left"/>
            </w:pPr>
            <w:r>
              <w:t xml:space="preserve">130.1</w:t>
            </w:r>
          </w:p>
        </w:tc>
        <w:tc>
          <w:tcPr/>
          <w:p>
            <w:pPr>
              <w:pStyle w:val="Compact"/>
              <w:jc w:val="left"/>
            </w:pPr>
            <w:r>
              <w:t xml:space="preserve">5.4%</w:t>
            </w:r>
          </w:p>
        </w:tc>
        <w:tc>
          <w:tcPr/>
          <w:p>
            <w:pPr>
              <w:pStyle w:val="Compact"/>
              <w:jc w:val="left"/>
            </w:pPr>
            <w:r>
              <w:t xml:space="preserve">Q1 Entry</w:t>
            </w:r>
          </w:p>
        </w:tc>
        <w:tc>
          <w:tcPr/>
          <w:p>
            <w:pPr>
              <w:pStyle w:val="Compact"/>
              <w:jc w:val="left"/>
            </w:pPr>
            <w:r>
              <w:t xml:space="preserve">B2B enterprise segment</w:t>
            </w:r>
          </w:p>
        </w:tc>
      </w:tr>
      <w:tr>
        <w:tc>
          <w:tcPr/>
          <w:p>
            <w:pPr>
              <w:pStyle w:val="Compact"/>
              <w:jc w:val="left"/>
            </w:pPr>
            <w:r>
              <w:t xml:space="preserve">France</w:t>
            </w:r>
          </w:p>
        </w:tc>
        <w:tc>
          <w:tcPr/>
          <w:p>
            <w:pPr>
              <w:pStyle w:val="Compact"/>
              <w:jc w:val="left"/>
            </w:pPr>
            <w:r>
              <w:t xml:space="preserve">121,000</w:t>
            </w:r>
          </w:p>
        </w:tc>
        <w:tc>
          <w:tcPr/>
          <w:p>
            <w:pPr>
              <w:pStyle w:val="Compact"/>
              <w:jc w:val="left"/>
            </w:pPr>
            <w:r>
              <w:t xml:space="preserve">106.8</w:t>
            </w:r>
          </w:p>
        </w:tc>
        <w:tc>
          <w:tcPr/>
          <w:p>
            <w:pPr>
              <w:pStyle w:val="Compact"/>
              <w:jc w:val="left"/>
            </w:pPr>
            <w:r>
              <w:t xml:space="preserve">4.5%</w:t>
            </w:r>
          </w:p>
        </w:tc>
        <w:tc>
          <w:tcPr/>
          <w:p>
            <w:pPr>
              <w:pStyle w:val="Compact"/>
              <w:jc w:val="left"/>
            </w:pPr>
            <w:r>
              <w:t xml:space="preserve">Q1 Entry</w:t>
            </w:r>
          </w:p>
        </w:tc>
        <w:tc>
          <w:tcPr/>
          <w:p>
            <w:pPr>
              <w:pStyle w:val="Compact"/>
              <w:jc w:val="left"/>
            </w:pPr>
            <w:r>
              <w:t xml:space="preserve">Regulatory clarity improved; catch-up phase</w:t>
            </w:r>
          </w:p>
        </w:tc>
      </w:tr>
      <w:tr>
        <w:tc>
          <w:tcPr/>
          <w:p>
            <w:pPr>
              <w:pStyle w:val="Compact"/>
              <w:jc w:val="left"/>
            </w:pPr>
            <w:r>
              <w:t xml:space="preserve">Singapore</w:t>
            </w:r>
          </w:p>
        </w:tc>
        <w:tc>
          <w:tcPr/>
          <w:p>
            <w:pPr>
              <w:pStyle w:val="Compact"/>
              <w:jc w:val="left"/>
            </w:pPr>
            <w:r>
              <w:t xml:space="preserve">58,000</w:t>
            </w:r>
          </w:p>
        </w:tc>
        <w:tc>
          <w:tcPr/>
          <w:p>
            <w:pPr>
              <w:pStyle w:val="Compact"/>
              <w:jc w:val="left"/>
            </w:pPr>
            <w:r>
              <w:t xml:space="preserve">51.3</w:t>
            </w:r>
          </w:p>
        </w:tc>
        <w:tc>
          <w:tcPr/>
          <w:p>
            <w:pPr>
              <w:pStyle w:val="Compact"/>
              <w:jc w:val="left"/>
            </w:pPr>
            <w:r>
              <w:t xml:space="preserve">2.1%</w:t>
            </w:r>
          </w:p>
        </w:tc>
        <w:tc>
          <w:tcPr/>
          <w:p>
            <w:pPr>
              <w:pStyle w:val="Compact"/>
              <w:jc w:val="left"/>
            </w:pPr>
            <w:r>
              <w:t xml:space="preserve">Q2 Entry</w:t>
            </w:r>
          </w:p>
        </w:tc>
        <w:tc>
          <w:tcPr/>
          <w:p>
            <w:pPr>
              <w:pStyle w:val="Compact"/>
              <w:jc w:val="left"/>
            </w:pPr>
            <w:r>
              <w:t xml:space="preserve">Tech-forward market; steady growth</w:t>
            </w:r>
          </w:p>
        </w:tc>
      </w:tr>
      <w:tr>
        <w:tc>
          <w:tcPr/>
          <w:p>
            <w:pPr>
              <w:pStyle w:val="Compact"/>
              <w:jc w:val="left"/>
            </w:pPr>
            <w:r>
              <w:t xml:space="preserve">Malaysia</w:t>
            </w:r>
          </w:p>
        </w:tc>
        <w:tc>
          <w:tcPr/>
          <w:p>
            <w:pPr>
              <w:pStyle w:val="Compact"/>
              <w:jc w:val="left"/>
            </w:pPr>
            <w:r>
              <w:t xml:space="preserve">48,700</w:t>
            </w:r>
          </w:p>
        </w:tc>
        <w:tc>
          <w:tcPr/>
          <w:p>
            <w:pPr>
              <w:pStyle w:val="Compact"/>
              <w:jc w:val="left"/>
            </w:pPr>
            <w:r>
              <w:t xml:space="preserve">43.1</w:t>
            </w:r>
          </w:p>
        </w:tc>
        <w:tc>
          <w:tcPr/>
          <w:p>
            <w:pPr>
              <w:pStyle w:val="Compact"/>
              <w:jc w:val="left"/>
            </w:pPr>
            <w:r>
              <w:t xml:space="preserve">1.8%</w:t>
            </w:r>
          </w:p>
        </w:tc>
        <w:tc>
          <w:tcPr/>
          <w:p>
            <w:pPr>
              <w:pStyle w:val="Compact"/>
              <w:jc w:val="left"/>
            </w:pPr>
            <w:r>
              <w:t xml:space="preserve">Q2 Entry</w:t>
            </w:r>
          </w:p>
        </w:tc>
        <w:tc>
          <w:tcPr/>
          <w:p>
            <w:pPr>
              <w:pStyle w:val="Compact"/>
              <w:jc w:val="left"/>
            </w:pPr>
            <w:r>
              <w:t xml:space="preserve">Good regulatory environment</w:t>
            </w:r>
          </w:p>
        </w:tc>
      </w:tr>
      <w:tr>
        <w:tc>
          <w:tcPr/>
          <w:p>
            <w:pPr>
              <w:pStyle w:val="Compact"/>
              <w:jc w:val="left"/>
            </w:pPr>
            <w:r>
              <w:t xml:space="preserve">Thailand</w:t>
            </w:r>
          </w:p>
        </w:tc>
        <w:tc>
          <w:tcPr/>
          <w:p>
            <w:pPr>
              <w:pStyle w:val="Compact"/>
              <w:jc w:val="left"/>
            </w:pPr>
            <w:r>
              <w:t xml:space="preserve">33,100</w:t>
            </w:r>
          </w:p>
        </w:tc>
        <w:tc>
          <w:tcPr/>
          <w:p>
            <w:pPr>
              <w:pStyle w:val="Compact"/>
              <w:jc w:val="left"/>
            </w:pPr>
            <w:r>
              <w:t xml:space="preserve">29.3</w:t>
            </w:r>
          </w:p>
        </w:tc>
        <w:tc>
          <w:tcPr/>
          <w:p>
            <w:pPr>
              <w:pStyle w:val="Compact"/>
              <w:jc w:val="left"/>
            </w:pPr>
            <w:r>
              <w:t xml:space="preserve">1.2%</w:t>
            </w:r>
          </w:p>
        </w:tc>
        <w:tc>
          <w:tcPr/>
          <w:p>
            <w:pPr>
              <w:pStyle w:val="Compact"/>
              <w:jc w:val="left"/>
            </w:pPr>
            <w:r>
              <w:t xml:space="preserve">Q2 Entry</w:t>
            </w:r>
          </w:p>
        </w:tc>
        <w:tc>
          <w:tcPr/>
          <w:p>
            <w:pPr>
              <w:pStyle w:val="Compact"/>
              <w:jc w:val="left"/>
            </w:pPr>
            <w:r>
              <w:t xml:space="preserve">Early market; education-focused</w:t>
            </w:r>
          </w:p>
        </w:tc>
      </w:tr>
      <w:tr>
        <w:tc>
          <w:tcPr/>
          <w:p>
            <w:pPr>
              <w:pStyle w:val="Compact"/>
              <w:jc w:val="left"/>
            </w:pPr>
            <w:r>
              <w:t xml:space="preserve">Brazil</w:t>
            </w:r>
          </w:p>
        </w:tc>
        <w:tc>
          <w:tcPr/>
          <w:p>
            <w:pPr>
              <w:pStyle w:val="Compact"/>
              <w:jc w:val="left"/>
            </w:pPr>
            <w:r>
              <w:t xml:space="preserve">50,800</w:t>
            </w:r>
          </w:p>
        </w:tc>
        <w:tc>
          <w:tcPr/>
          <w:p>
            <w:pPr>
              <w:pStyle w:val="Compact"/>
              <w:jc w:val="left"/>
            </w:pPr>
            <w:r>
              <w:t xml:space="preserve">45.0</w:t>
            </w:r>
          </w:p>
        </w:tc>
        <w:tc>
          <w:tcPr/>
          <w:p>
            <w:pPr>
              <w:pStyle w:val="Compact"/>
              <w:jc w:val="left"/>
            </w:pPr>
            <w:r>
              <w:t xml:space="preserve">1.9%</w:t>
            </w:r>
          </w:p>
        </w:tc>
        <w:tc>
          <w:tcPr/>
          <w:p>
            <w:pPr>
              <w:pStyle w:val="Compact"/>
              <w:jc w:val="left"/>
            </w:pPr>
            <w:r>
              <w:t xml:space="preserve">Q3 Entry</w:t>
            </w:r>
          </w:p>
        </w:tc>
        <w:tc>
          <w:tcPr/>
          <w:p>
            <w:pPr>
              <w:pStyle w:val="Compact"/>
              <w:jc w:val="left"/>
            </w:pPr>
            <w:r>
              <w:t xml:space="preserve">Largest LATAM opportunity; strong H2 growth</w:t>
            </w:r>
          </w:p>
        </w:tc>
      </w:tr>
      <w:tr>
        <w:tc>
          <w:tcPr/>
          <w:p>
            <w:pPr>
              <w:pStyle w:val="Compact"/>
              <w:jc w:val="left"/>
            </w:pPr>
            <w:r>
              <w:t xml:space="preserve">Mexico</w:t>
            </w:r>
          </w:p>
        </w:tc>
        <w:tc>
          <w:tcPr/>
          <w:p>
            <w:pPr>
              <w:pStyle w:val="Compact"/>
              <w:jc w:val="left"/>
            </w:pPr>
            <w:r>
              <w:t xml:space="preserve">34,000</w:t>
            </w:r>
          </w:p>
        </w:tc>
        <w:tc>
          <w:tcPr/>
          <w:p>
            <w:pPr>
              <w:pStyle w:val="Compact"/>
              <w:jc w:val="left"/>
            </w:pPr>
            <w:r>
              <w:t xml:space="preserve">30.1</w:t>
            </w:r>
          </w:p>
        </w:tc>
        <w:tc>
          <w:tcPr/>
          <w:p>
            <w:pPr>
              <w:pStyle w:val="Compact"/>
              <w:jc w:val="left"/>
            </w:pPr>
            <w:r>
              <w:t xml:space="preserve">1.3%</w:t>
            </w:r>
          </w:p>
        </w:tc>
        <w:tc>
          <w:tcPr/>
          <w:p>
            <w:pPr>
              <w:pStyle w:val="Compact"/>
              <w:jc w:val="left"/>
            </w:pPr>
            <w:r>
              <w:t xml:space="preserve">Q3 Entry</w:t>
            </w:r>
          </w:p>
        </w:tc>
        <w:tc>
          <w:tcPr/>
          <w:p>
            <w:pPr>
              <w:pStyle w:val="Compact"/>
              <w:jc w:val="left"/>
            </w:pPr>
            <w:r>
              <w:t xml:space="preserve">B2B enterprise focus paying off</w:t>
            </w:r>
          </w:p>
        </w:tc>
      </w:tr>
      <w:tr>
        <w:tc>
          <w:tcPr/>
          <w:p>
            <w:pPr>
              <w:pStyle w:val="Compact"/>
              <w:jc w:val="left"/>
            </w:pPr>
            <w:r>
              <w:t xml:space="preserve">Colombia</w:t>
            </w:r>
          </w:p>
        </w:tc>
        <w:tc>
          <w:tcPr/>
          <w:p>
            <w:pPr>
              <w:pStyle w:val="Compact"/>
              <w:jc w:val="left"/>
            </w:pPr>
            <w:r>
              <w:t xml:space="preserve">15,500</w:t>
            </w:r>
          </w:p>
        </w:tc>
        <w:tc>
          <w:tcPr/>
          <w:p>
            <w:pPr>
              <w:pStyle w:val="Compact"/>
              <w:jc w:val="left"/>
            </w:pPr>
            <w:r>
              <w:t xml:space="preserve">13.7</w:t>
            </w:r>
          </w:p>
        </w:tc>
        <w:tc>
          <w:tcPr/>
          <w:p>
            <w:pPr>
              <w:pStyle w:val="Compact"/>
              <w:jc w:val="left"/>
            </w:pPr>
            <w:r>
              <w:t xml:space="preserve">0.6%</w:t>
            </w:r>
          </w:p>
        </w:tc>
        <w:tc>
          <w:tcPr/>
          <w:p>
            <w:pPr>
              <w:pStyle w:val="Compact"/>
              <w:jc w:val="left"/>
            </w:pPr>
            <w:r>
              <w:t xml:space="preserve">Q3 Entry</w:t>
            </w:r>
          </w:p>
        </w:tc>
        <w:tc>
          <w:tcPr/>
          <w:p>
            <w:pPr>
              <w:pStyle w:val="Compact"/>
              <w:jc w:val="left"/>
            </w:pPr>
            <w:r>
              <w:t xml:space="preserve">Foundation building; government integration play</w:t>
            </w:r>
          </w:p>
        </w:tc>
      </w:tr>
    </w:tbl>
    <w:p>
      <w:pPr>
        <w:pStyle w:val="BodyText"/>
      </w:pPr>
      <w:r>
        <w:rPr>
          <w:b/>
          <w:bCs/>
        </w:rPr>
        <w:t xml:space="preserve">Geographic Insights:</w:t>
      </w:r>
      <w:r>
        <w:t xml:space="preserve"> </w:t>
      </w:r>
      <w:r>
        <w:t xml:space="preserve">- Core India market: 61.8% of customers, 78.9% of revenue; focus on retention reducing growth rate</w:t>
      </w:r>
      <w:r>
        <w:t xml:space="preserve"> </w:t>
      </w:r>
      <w:r>
        <w:t xml:space="preserve">- Europe (3 markets): 418,600 customers, ₹372.9 Lakh revenue (10.5% of total); strong Q1 entry, stabilized in Q2-Q4</w:t>
      </w:r>
      <w:r>
        <w:t xml:space="preserve"> </w:t>
      </w:r>
      <w:r>
        <w:t xml:space="preserve">- Southeast Asia (3 markets): 139,800 customers, ₹123.7 Lakh revenue (3.6% of total); good traction, India expertise transferable</w:t>
      </w:r>
      <w:r>
        <w:t xml:space="preserve"> </w:t>
      </w:r>
      <w:r>
        <w:t xml:space="preserve">- Latin America (3 markets): 100,300 customers, ₹88.8 Lakh revenue (2.5% of total); exceptional Q4 performance (35% YoY growth in LATAM)</w:t>
      </w:r>
    </w:p>
    <w:p>
      <w:r>
        <w:pict>
          <v:rect style="width:0;height:1.5pt" o:hralign="center" o:hrstd="t" o:hr="t"/>
        </w:pict>
      </w:r>
    </w:p>
    <w:bookmarkEnd w:id="27"/>
    <w:bookmarkStart w:id="28" w:name="customer-segment-analysis-2024"/>
    <w:p>
      <w:pPr>
        <w:pStyle w:val="Heading2"/>
      </w:pPr>
      <w:r>
        <w:t xml:space="preserve">Customer Segment Analysis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Segment</w:t>
            </w:r>
          </w:p>
        </w:tc>
        <w:tc>
          <w:tcPr/>
          <w:p>
            <w:pPr>
              <w:pStyle w:val="Compact"/>
              <w:jc w:val="left"/>
            </w:pPr>
            <w:r>
              <w:t xml:space="preserve">New Customers</w:t>
            </w:r>
          </w:p>
        </w:tc>
        <w:tc>
          <w:tcPr/>
          <w:p>
            <w:pPr>
              <w:pStyle w:val="Compact"/>
              <w:jc w:val="left"/>
            </w:pPr>
            <w:r>
              <w:t xml:space="preserve">% of Total</w:t>
            </w:r>
          </w:p>
        </w:tc>
        <w:tc>
          <w:tcPr/>
          <w:p>
            <w:pPr>
              <w:pStyle w:val="Compact"/>
              <w:jc w:val="left"/>
            </w:pPr>
            <w:r>
              <w:t xml:space="preserve">Avg Revenue/Customer</w:t>
            </w:r>
          </w:p>
        </w:tc>
        <w:tc>
          <w:tcPr/>
          <w:p>
            <w:pPr>
              <w:pStyle w:val="Compact"/>
              <w:jc w:val="left"/>
            </w:pPr>
            <w:r>
              <w:t xml:space="preserve">LTV (Est.)</w:t>
            </w:r>
          </w:p>
        </w:tc>
        <w:tc>
          <w:tcPr/>
          <w:p>
            <w:pPr>
              <w:pStyle w:val="Compact"/>
              <w:jc w:val="left"/>
            </w:pPr>
            <w:r>
              <w:t xml:space="preserve">Churn Rate</w:t>
            </w:r>
          </w:p>
        </w:tc>
        <w:tc>
          <w:tcPr/>
          <w:p>
            <w:pPr>
              <w:pStyle w:val="Compact"/>
              <w:jc w:val="left"/>
            </w:pPr>
            <w:r>
              <w:t xml:space="preserve">Key Drivers</w:t>
            </w:r>
          </w:p>
        </w:tc>
      </w:tr>
      <w:tr>
        <w:tc>
          <w:tcPr/>
          <w:p>
            <w:pPr>
              <w:pStyle w:val="Compact"/>
              <w:jc w:val="left"/>
            </w:pPr>
            <w:r>
              <w:t xml:space="preserve">Consumer/Retail</w:t>
            </w:r>
          </w:p>
        </w:tc>
        <w:tc>
          <w:tcPr/>
          <w:p>
            <w:pPr>
              <w:pStyle w:val="Compact"/>
              <w:jc w:val="left"/>
            </w:pPr>
            <w:r>
              <w:t xml:space="preserve">576,400</w:t>
            </w:r>
          </w:p>
        </w:tc>
        <w:tc>
          <w:tcPr/>
          <w:p>
            <w:pPr>
              <w:pStyle w:val="Compact"/>
              <w:jc w:val="left"/>
            </w:pPr>
            <w:r>
              <w:t xml:space="preserve">84.1%</w:t>
            </w:r>
          </w:p>
        </w:tc>
        <w:tc>
          <w:tcPr/>
          <w:p>
            <w:pPr>
              <w:pStyle w:val="Compact"/>
              <w:jc w:val="left"/>
            </w:pPr>
            <w:r>
              <w:t xml:space="preserve">₹516</w:t>
            </w:r>
          </w:p>
        </w:tc>
        <w:tc>
          <w:tcPr/>
          <w:p>
            <w:pPr>
              <w:pStyle w:val="Compact"/>
              <w:jc w:val="left"/>
            </w:pPr>
            <w:r>
              <w:t xml:space="preserve">₹3,097</w:t>
            </w:r>
          </w:p>
        </w:tc>
        <w:tc>
          <w:tcPr/>
          <w:p>
            <w:pPr>
              <w:pStyle w:val="Compact"/>
              <w:jc w:val="left"/>
            </w:pPr>
            <w:r>
              <w:t xml:space="preserve">9.7%</w:t>
            </w:r>
          </w:p>
        </w:tc>
        <w:tc>
          <w:tcPr/>
          <w:p>
            <w:pPr>
              <w:pStyle w:val="Compact"/>
              <w:jc w:val="left"/>
            </w:pPr>
            <w:r>
              <w:t xml:space="preserve">Loyalty program, ease of use</w:t>
            </w:r>
          </w:p>
        </w:tc>
      </w:tr>
      <w:tr>
        <w:tc>
          <w:tcPr/>
          <w:p>
            <w:pPr>
              <w:pStyle w:val="Compact"/>
              <w:jc w:val="left"/>
            </w:pPr>
            <w:r>
              <w:t xml:space="preserve">SMB (1-50 emp)</w:t>
            </w:r>
          </w:p>
        </w:tc>
        <w:tc>
          <w:tcPr/>
          <w:p>
            <w:pPr>
              <w:pStyle w:val="Compact"/>
              <w:jc w:val="left"/>
            </w:pPr>
            <w:r>
              <w:t xml:space="preserve">78,200</w:t>
            </w:r>
          </w:p>
        </w:tc>
        <w:tc>
          <w:tcPr/>
          <w:p>
            <w:pPr>
              <w:pStyle w:val="Compact"/>
              <w:jc w:val="left"/>
            </w:pPr>
            <w:r>
              <w:t xml:space="preserve">11.4%</w:t>
            </w:r>
          </w:p>
        </w:tc>
        <w:tc>
          <w:tcPr/>
          <w:p>
            <w:pPr>
              <w:pStyle w:val="Compact"/>
              <w:jc w:val="left"/>
            </w:pPr>
            <w:r>
              <w:t xml:space="preserve">₹1,245</w:t>
            </w:r>
          </w:p>
        </w:tc>
        <w:tc>
          <w:tcPr/>
          <w:p>
            <w:pPr>
              <w:pStyle w:val="Compact"/>
              <w:jc w:val="left"/>
            </w:pPr>
            <w:r>
              <w:t xml:space="preserve">₹7,472</w:t>
            </w:r>
          </w:p>
        </w:tc>
        <w:tc>
          <w:tcPr/>
          <w:p>
            <w:pPr>
              <w:pStyle w:val="Compact"/>
              <w:jc w:val="left"/>
            </w:pPr>
            <w:r>
              <w:t xml:space="preserve">14.2%</w:t>
            </w:r>
          </w:p>
        </w:tc>
        <w:tc>
          <w:tcPr/>
          <w:p>
            <w:pPr>
              <w:pStyle w:val="Compact"/>
              <w:jc w:val="left"/>
            </w:pPr>
            <w:r>
              <w:t xml:space="preserve">Time savings, integration</w:t>
            </w:r>
          </w:p>
        </w:tc>
      </w:tr>
      <w:tr>
        <w:tc>
          <w:tcPr/>
          <w:p>
            <w:pPr>
              <w:pStyle w:val="Compact"/>
              <w:jc w:val="left"/>
            </w:pPr>
            <w:r>
              <w:t xml:space="preserve">Enterprise (50+ emp)</w:t>
            </w:r>
          </w:p>
        </w:tc>
        <w:tc>
          <w:tcPr/>
          <w:p>
            <w:pPr>
              <w:pStyle w:val="Compact"/>
              <w:jc w:val="left"/>
            </w:pPr>
            <w:r>
              <w:t xml:space="preserve">30,500</w:t>
            </w:r>
          </w:p>
        </w:tc>
        <w:tc>
          <w:tcPr/>
          <w:p>
            <w:pPr>
              <w:pStyle w:val="Compact"/>
              <w:jc w:val="left"/>
            </w:pPr>
            <w:r>
              <w:t xml:space="preserve">4.5%</w:t>
            </w:r>
          </w:p>
        </w:tc>
        <w:tc>
          <w:tcPr/>
          <w:p>
            <w:pPr>
              <w:pStyle w:val="Compact"/>
              <w:jc w:val="left"/>
            </w:pPr>
            <w:r>
              <w:t xml:space="preserve">₹2,860</w:t>
            </w:r>
          </w:p>
        </w:tc>
        <w:tc>
          <w:tcPr/>
          <w:p>
            <w:pPr>
              <w:pStyle w:val="Compact"/>
              <w:jc w:val="left"/>
            </w:pPr>
            <w:r>
              <w:t xml:space="preserve">₹17,160</w:t>
            </w:r>
          </w:p>
        </w:tc>
        <w:tc>
          <w:tcPr/>
          <w:p>
            <w:pPr>
              <w:pStyle w:val="Compact"/>
              <w:jc w:val="left"/>
            </w:pPr>
            <w:r>
              <w:t xml:space="preserve">6.2%</w:t>
            </w:r>
          </w:p>
        </w:tc>
        <w:tc>
          <w:tcPr/>
          <w:p>
            <w:pPr>
              <w:pStyle w:val="Compact"/>
              <w:jc w:val="left"/>
            </w:pPr>
            <w:r>
              <w:t xml:space="preserve">ROI, compliance, support</w:t>
            </w:r>
          </w:p>
        </w:tc>
      </w:tr>
    </w:tbl>
    <w:p>
      <w:pPr>
        <w:pStyle w:val="BodyText"/>
      </w:pPr>
      <w:r>
        <w:rPr>
          <w:b/>
          <w:bCs/>
        </w:rPr>
        <w:t xml:space="preserve">Segment Insights:</w:t>
      </w:r>
      <w:r>
        <w:t xml:space="preserve"> </w:t>
      </w:r>
      <w:r>
        <w:t xml:space="preserve">- Consumer segment drives volume (84.1%); loyalty program adoption 35.7% of new consumer customers</w:t>
      </w:r>
      <w:r>
        <w:t xml:space="preserve"> </w:t>
      </w:r>
      <w:r>
        <w:t xml:space="preserve">- SMB segment: moderate volume, good unit economics; B2B campaigns showing increasing effectiveness</w:t>
      </w:r>
      <w:r>
        <w:t xml:space="preserve"> </w:t>
      </w:r>
      <w:r>
        <w:t xml:space="preserve">- Enterprise segment: low volume (4.5%) but high revenue contribution (22.1% of annual revenue); lowest churn (6.2%); highest LTV</w:t>
      </w:r>
    </w:p>
    <w:p>
      <w:r>
        <w:pict>
          <v:rect style="width:0;height:1.5pt" o:hralign="center" o:hrstd="t" o:hr="t"/>
        </w:pict>
      </w:r>
    </w:p>
    <w:bookmarkEnd w:id="28"/>
    <w:bookmarkStart w:id="29" w:name="brand-customer-insights-2024"/>
    <w:p>
      <w:pPr>
        <w:pStyle w:val="Heading2"/>
      </w:pPr>
      <w:r>
        <w:t xml:space="preserve">Brand &amp; Customer Insights (2024)</w:t>
      </w:r>
    </w:p>
    <w:p>
      <w:pPr>
        <w:pStyle w:val="FirstParagraph"/>
      </w:pPr>
      <w:r>
        <w:rPr>
          <w:b/>
          <w:bCs/>
        </w:rPr>
        <w:t xml:space="preserve">Brand Awareness Evolution:</w:t>
      </w:r>
      <w:r>
        <w:t xml:space="preserve"> </w:t>
      </w:r>
      <w:r>
        <w:t xml:space="preserve">- Pre-2024: 22% aided brand awareness (fintech payment solution category)</w:t>
      </w:r>
      <w:r>
        <w:t xml:space="preserve"> </w:t>
      </w:r>
      <w:r>
        <w:t xml:space="preserve">- Q1 2024: 28% brand awareness (European market entry press)</w:t>
      </w:r>
      <w:r>
        <w:t xml:space="preserve"> </w:t>
      </w:r>
      <w:r>
        <w:t xml:space="preserve">- Q2 2024: 32% brand awareness (influencer partnerships impact)</w:t>
      </w:r>
      <w:r>
        <w:t xml:space="preserve"> </w:t>
      </w:r>
      <w:r>
        <w:t xml:space="preserve">- Q3 2024: 35% brand awareness (loyalty program launch + social media growth)</w:t>
      </w:r>
      <w:r>
        <w:t xml:space="preserve"> </w:t>
      </w:r>
      <w:r>
        <w:t xml:space="preserve">- Q4 2024: 38% brand awareness (holiday season campaign + video content virality)</w:t>
      </w:r>
      <w:r>
        <w:t xml:space="preserve"> </w:t>
      </w:r>
      <w:r>
        <w:t xml:space="preserve">-</w:t>
      </w:r>
      <w:r>
        <w:t xml:space="preserve"> </w:t>
      </w:r>
      <w:r>
        <w:rPr>
          <w:b/>
          <w:bCs/>
        </w:rPr>
        <w:t xml:space="preserve">Full-year growth:</w:t>
      </w:r>
      <w:r>
        <w:t xml:space="preserve"> </w:t>
      </w:r>
      <w:r>
        <w:t xml:space="preserve">+16 percentage points (+72.7% improvement)</w:t>
      </w:r>
    </w:p>
    <w:p>
      <w:pPr>
        <w:pStyle w:val="BodyText"/>
      </w:pPr>
      <w:r>
        <w:rPr>
          <w:b/>
          <w:bCs/>
        </w:rPr>
        <w:t xml:space="preserve">Customer Demographics (2024 Cohort):</w:t>
      </w:r>
      <w:r>
        <w:t xml:space="preserve"> </w:t>
      </w:r>
      <w:r>
        <w:t xml:space="preserve">- Primary demographic: 25-40 years old (62% of new customers)</w:t>
      </w:r>
      <w:r>
        <w:t xml:space="preserve"> </w:t>
      </w:r>
      <w:r>
        <w:t xml:space="preserve">- Gender split: 48% female, 52% male</w:t>
      </w:r>
      <w:r>
        <w:t xml:space="preserve"> </w:t>
      </w:r>
      <w:r>
        <w:t xml:space="preserve">- Device preference: 71% mobile-first, 29% desktop</w:t>
      </w:r>
      <w:r>
        <w:t xml:space="preserve"> </w:t>
      </w:r>
      <w:r>
        <w:t xml:space="preserve">- Tech adoption: 84% comfortable with mobile/digital payments</w:t>
      </w:r>
      <w:r>
        <w:t xml:space="preserve"> </w:t>
      </w:r>
      <w:r>
        <w:t xml:space="preserve">- Geographic preference: Urban centers (68% metro area residents)</w:t>
      </w:r>
    </w:p>
    <w:p>
      <w:pPr>
        <w:pStyle w:val="BodyText"/>
      </w:pPr>
      <w:r>
        <w:rPr>
          <w:b/>
          <w:bCs/>
        </w:rPr>
        <w:t xml:space="preserve">Engagement Trends:</w:t>
      </w:r>
      <w:r>
        <w:t xml:space="preserve"> </w:t>
      </w:r>
      <w:r>
        <w:t xml:space="preserve">- Social media interactions drive highest engagement: Instagram (9.2% engagement rate), TikTok (15.8%), LinkedIn (6.2%)</w:t>
      </w:r>
      <w:r>
        <w:t xml:space="preserve"> </w:t>
      </w:r>
      <w:r>
        <w:t xml:space="preserve">- Educational content outperforms product-focused content by 2.1x in video metrics</w:t>
      </w:r>
      <w:r>
        <w:t xml:space="preserve"> </w:t>
      </w:r>
      <w:r>
        <w:t xml:space="preserve">- Peak engagement times: 7pm-9pm (evening), 12pm-1pm (lunch break)</w:t>
      </w:r>
      <w:r>
        <w:t xml:space="preserve"> </w:t>
      </w:r>
      <w:r>
        <w:t xml:space="preserve">- Email engagement: 30%+ open rates for retention campaigns; 6-8% click rates</w:t>
      </w:r>
      <w:r>
        <w:t xml:space="preserve"> </w:t>
      </w:r>
      <w:r>
        <w:t xml:space="preserve">- Mobile app usage: 82% of active customers use mobile app; average session duration 12.4 minutes</w:t>
      </w:r>
    </w:p>
    <w:p>
      <w:r>
        <w:pict>
          <v:rect style="width:0;height:1.5pt" o:hralign="center" o:hrstd="t" o:hr="t"/>
        </w:pict>
      </w:r>
    </w:p>
    <w:bookmarkEnd w:id="29"/>
    <w:bookmarkStart w:id="30" w:name="competitor-landscape-2024-estimates"/>
    <w:p>
      <w:pPr>
        <w:pStyle w:val="Heading2"/>
      </w:pPr>
      <w:r>
        <w:t xml:space="preserve">Competitor Landscape (2024 Estimates)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Competitor</w:t>
            </w:r>
          </w:p>
        </w:tc>
        <w:tc>
          <w:tcPr/>
          <w:p>
            <w:pPr>
              <w:pStyle w:val="Compact"/>
              <w:jc w:val="left"/>
            </w:pPr>
            <w:r>
              <w:t xml:space="preserve">Est. Market Share</w:t>
            </w:r>
          </w:p>
        </w:tc>
        <w:tc>
          <w:tcPr/>
          <w:p>
            <w:pPr>
              <w:pStyle w:val="Compact"/>
              <w:jc w:val="left"/>
            </w:pPr>
            <w:r>
              <w:t xml:space="preserve">Customer Base (Est.)</w:t>
            </w:r>
          </w:p>
        </w:tc>
        <w:tc>
          <w:tcPr/>
          <w:p>
            <w:pPr>
              <w:pStyle w:val="Compact"/>
              <w:jc w:val="left"/>
            </w:pPr>
            <w:r>
              <w:t xml:space="preserve">Annual Marketing Spend (Est.)</w:t>
            </w:r>
          </w:p>
        </w:tc>
        <w:tc>
          <w:tcPr/>
          <w:p>
            <w:pPr>
              <w:pStyle w:val="Compact"/>
              <w:jc w:val="left"/>
            </w:pPr>
            <w:r>
              <w:t xml:space="preserve">Primary Markets</w:t>
            </w:r>
          </w:p>
        </w:tc>
        <w:tc>
          <w:tcPr/>
          <w:p>
            <w:pPr>
              <w:pStyle w:val="Compact"/>
              <w:jc w:val="left"/>
            </w:pPr>
            <w:r>
              <w:t xml:space="preserve">Positioning</w:t>
            </w:r>
          </w:p>
        </w:tc>
      </w:tr>
      <w:tr>
        <w:tc>
          <w:tcPr/>
          <w:p>
            <w:pPr>
              <w:pStyle w:val="Compact"/>
              <w:jc w:val="left"/>
            </w:pPr>
            <w:r>
              <w:t xml:space="preserve">FinSolve Technologies</w:t>
            </w:r>
          </w:p>
        </w:tc>
        <w:tc>
          <w:tcPr/>
          <w:p>
            <w:pPr>
              <w:pStyle w:val="Compact"/>
              <w:jc w:val="left"/>
            </w:pPr>
            <w:r>
              <w:t xml:space="preserve">12.4%</w:t>
            </w:r>
          </w:p>
        </w:tc>
        <w:tc>
          <w:tcPr/>
          <w:p>
            <w:pPr>
              <w:pStyle w:val="Compact"/>
              <w:jc w:val="left"/>
            </w:pPr>
            <w:r>
              <w:t xml:space="preserve">685,100</w:t>
            </w:r>
          </w:p>
        </w:tc>
        <w:tc>
          <w:tcPr/>
          <w:p>
            <w:pPr>
              <w:pStyle w:val="Compact"/>
              <w:jc w:val="left"/>
            </w:pPr>
            <w:r>
              <w:t xml:space="preserve">₹1,330L</w:t>
            </w:r>
          </w:p>
        </w:tc>
        <w:tc>
          <w:tcPr/>
          <w:p>
            <w:pPr>
              <w:pStyle w:val="Compact"/>
              <w:jc w:val="left"/>
            </w:pPr>
            <w:r>
              <w:t xml:space="preserve">10 markets (global)</w:t>
            </w:r>
          </w:p>
        </w:tc>
        <w:tc>
          <w:tcPr/>
          <w:p>
            <w:pPr>
              <w:pStyle w:val="Compact"/>
              <w:jc w:val="left"/>
            </w:pPr>
            <w:r>
              <w:t xml:space="preserve">Omnichannel growth leader</w:t>
            </w:r>
          </w:p>
        </w:tc>
      </w:tr>
      <w:tr>
        <w:tc>
          <w:tcPr/>
          <w:p>
            <w:pPr>
              <w:pStyle w:val="Compact"/>
              <w:jc w:val="left"/>
            </w:pPr>
            <w:r>
              <w:t xml:space="preserve">PaymentPro India</w:t>
            </w:r>
          </w:p>
        </w:tc>
        <w:tc>
          <w:tcPr/>
          <w:p>
            <w:pPr>
              <w:pStyle w:val="Compact"/>
              <w:jc w:val="left"/>
            </w:pPr>
            <w:r>
              <w:t xml:space="preserve">14.1%</w:t>
            </w:r>
          </w:p>
        </w:tc>
        <w:tc>
          <w:tcPr/>
          <w:p>
            <w:pPr>
              <w:pStyle w:val="Compact"/>
              <w:jc w:val="left"/>
            </w:pPr>
            <w:r>
              <w:t xml:space="preserve">625,000</w:t>
            </w:r>
          </w:p>
        </w:tc>
        <w:tc>
          <w:tcPr/>
          <w:p>
            <w:pPr>
              <w:pStyle w:val="Compact"/>
              <w:jc w:val="left"/>
            </w:pPr>
            <w:r>
              <w:t xml:space="preserve">₹1,240L</w:t>
            </w:r>
          </w:p>
        </w:tc>
        <w:tc>
          <w:tcPr/>
          <w:p>
            <w:pPr>
              <w:pStyle w:val="Compact"/>
              <w:jc w:val="left"/>
            </w:pPr>
            <w:r>
              <w:t xml:space="preserve">6 markets (India-focused)</w:t>
            </w:r>
          </w:p>
        </w:tc>
        <w:tc>
          <w:tcPr/>
          <w:p>
            <w:pPr>
              <w:pStyle w:val="Compact"/>
              <w:jc w:val="left"/>
            </w:pPr>
            <w:r>
              <w:t xml:space="preserve">Enterprise-grade solutions</w:t>
            </w:r>
          </w:p>
        </w:tc>
      </w:tr>
      <w:tr>
        <w:tc>
          <w:tcPr/>
          <w:p>
            <w:pPr>
              <w:pStyle w:val="Compact"/>
              <w:jc w:val="left"/>
            </w:pPr>
            <w:r>
              <w:t xml:space="preserve">FinTech Global</w:t>
            </w:r>
          </w:p>
        </w:tc>
        <w:tc>
          <w:tcPr/>
          <w:p>
            <w:pPr>
              <w:pStyle w:val="Compact"/>
              <w:jc w:val="left"/>
            </w:pPr>
            <w:r>
              <w:t xml:space="preserve">8.9%</w:t>
            </w:r>
          </w:p>
        </w:tc>
        <w:tc>
          <w:tcPr/>
          <w:p>
            <w:pPr>
              <w:pStyle w:val="Compact"/>
              <w:jc w:val="left"/>
            </w:pPr>
            <w:r>
              <w:t xml:space="preserve">485,000</w:t>
            </w:r>
          </w:p>
        </w:tc>
        <w:tc>
          <w:tcPr/>
          <w:p>
            <w:pPr>
              <w:pStyle w:val="Compact"/>
              <w:jc w:val="left"/>
            </w:pPr>
            <w:r>
              <w:t xml:space="preserve">₹980L</w:t>
            </w:r>
          </w:p>
        </w:tc>
        <w:tc>
          <w:tcPr/>
          <w:p>
            <w:pPr>
              <w:pStyle w:val="Compact"/>
              <w:jc w:val="left"/>
            </w:pPr>
            <w:r>
              <w:t xml:space="preserve">8 markets (Asia-heavy)</w:t>
            </w:r>
          </w:p>
        </w:tc>
        <w:tc>
          <w:tcPr/>
          <w:p>
            <w:pPr>
              <w:pStyle w:val="Compact"/>
              <w:jc w:val="left"/>
            </w:pPr>
            <w:r>
              <w:t xml:space="preserve">Fast follower strategy</w:t>
            </w:r>
          </w:p>
        </w:tc>
      </w:tr>
      <w:tr>
        <w:tc>
          <w:tcPr/>
          <w:p>
            <w:pPr>
              <w:pStyle w:val="Compact"/>
              <w:jc w:val="left"/>
            </w:pPr>
            <w:r>
              <w:t xml:space="preserve">RapidPay Solutions</w:t>
            </w:r>
          </w:p>
        </w:tc>
        <w:tc>
          <w:tcPr/>
          <w:p>
            <w:pPr>
              <w:pStyle w:val="Compact"/>
              <w:jc w:val="left"/>
            </w:pPr>
            <w:r>
              <w:t xml:space="preserve">7.2%</w:t>
            </w:r>
          </w:p>
        </w:tc>
        <w:tc>
          <w:tcPr/>
          <w:p>
            <w:pPr>
              <w:pStyle w:val="Compact"/>
              <w:jc w:val="left"/>
            </w:pPr>
            <w:r>
              <w:t xml:space="preserve">398,000</w:t>
            </w:r>
          </w:p>
        </w:tc>
        <w:tc>
          <w:tcPr/>
          <w:p>
            <w:pPr>
              <w:pStyle w:val="Compact"/>
              <w:jc w:val="left"/>
            </w:pPr>
            <w:r>
              <w:t xml:space="preserve">₹850L</w:t>
            </w:r>
          </w:p>
        </w:tc>
        <w:tc>
          <w:tcPr/>
          <w:p>
            <w:pPr>
              <w:pStyle w:val="Compact"/>
              <w:jc w:val="left"/>
            </w:pPr>
            <w:r>
              <w:t xml:space="preserve">4 markets</w:t>
            </w:r>
          </w:p>
        </w:tc>
        <w:tc>
          <w:tcPr/>
          <w:p>
            <w:pPr>
              <w:pStyle w:val="Compact"/>
              <w:jc w:val="left"/>
            </w:pPr>
            <w:r>
              <w:t xml:space="preserve">SMB segment specialist</w:t>
            </w:r>
          </w:p>
        </w:tc>
      </w:tr>
      <w:tr>
        <w:tc>
          <w:tcPr/>
          <w:p>
            <w:pPr>
              <w:pStyle w:val="Compact"/>
              <w:jc w:val="left"/>
            </w:pPr>
            <w:r>
              <w:t xml:space="preserve">Digital Wallets Inc</w:t>
            </w:r>
          </w:p>
        </w:tc>
        <w:tc>
          <w:tcPr/>
          <w:p>
            <w:pPr>
              <w:pStyle w:val="Compact"/>
              <w:jc w:val="left"/>
            </w:pPr>
            <w:r>
              <w:t xml:space="preserve">5.1%</w:t>
            </w:r>
          </w:p>
        </w:tc>
        <w:tc>
          <w:tcPr/>
          <w:p>
            <w:pPr>
              <w:pStyle w:val="Compact"/>
              <w:jc w:val="left"/>
            </w:pPr>
            <w:r>
              <w:t xml:space="preserve">285,000</w:t>
            </w:r>
          </w:p>
        </w:tc>
        <w:tc>
          <w:tcPr/>
          <w:p>
            <w:pPr>
              <w:pStyle w:val="Compact"/>
              <w:jc w:val="left"/>
            </w:pPr>
            <w:r>
              <w:t xml:space="preserve">₹650L</w:t>
            </w:r>
          </w:p>
        </w:tc>
        <w:tc>
          <w:tcPr/>
          <w:p>
            <w:pPr>
              <w:pStyle w:val="Compact"/>
              <w:jc w:val="left"/>
            </w:pPr>
            <w:r>
              <w:t xml:space="preserve">3 markets</w:t>
            </w:r>
          </w:p>
        </w:tc>
        <w:tc>
          <w:tcPr/>
          <w:p>
            <w:pPr>
              <w:pStyle w:val="Compact"/>
              <w:jc w:val="left"/>
            </w:pPr>
            <w:r>
              <w:t xml:space="preserve">Mobile-first design</w:t>
            </w:r>
          </w:p>
        </w:tc>
      </w:tr>
    </w:tbl>
    <w:p>
      <w:pPr>
        <w:pStyle w:val="BodyText"/>
      </w:pPr>
      <w:r>
        <w:rPr>
          <w:b/>
          <w:bCs/>
        </w:rPr>
        <w:t xml:space="preserve">Competitive Position: 2024 vs. 2023</w:t>
      </w:r>
      <w:r>
        <w:t xml:space="preserve"> </w:t>
      </w:r>
      <w:r>
        <w:t xml:space="preserve">- 2023: FinSolve ranked #2 in market share (10%), #1 in customer acquisition rate</w:t>
      </w:r>
      <w:r>
        <w:t xml:space="preserve"> </w:t>
      </w:r>
      <w:r>
        <w:t xml:space="preserve">- 2024: FinSolve ranked #2 in market share (12.4%, +2.4pp), maintained #1 in acquisition rate, highest ROI trajectory</w:t>
      </w:r>
      <w:r>
        <w:t xml:space="preserve"> </w:t>
      </w:r>
      <w:r>
        <w:t xml:space="preserve">- Competitive advantage: Highest CAC efficiency, best geographic diversification, strongest ROI improvement YoY</w:t>
      </w:r>
    </w:p>
    <w:p>
      <w:r>
        <w:pict>
          <v:rect style="width:0;height:1.5pt" o:hralign="center" o:hrstd="t" o:hr="t"/>
        </w:pict>
      </w:r>
    </w:p>
    <w:bookmarkEnd w:id="30"/>
    <w:bookmarkStart w:id="31" w:name="marketing-budget-vs.-actual-2024"/>
    <w:p>
      <w:pPr>
        <w:pStyle w:val="Heading2"/>
      </w:pPr>
      <w:r>
        <w:t xml:space="preserve">Marketing Budget vs. Actual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Planned (₹L)</w:t>
            </w:r>
          </w:p>
        </w:tc>
        <w:tc>
          <w:tcPr/>
          <w:p>
            <w:pPr>
              <w:pStyle w:val="Compact"/>
              <w:jc w:val="left"/>
            </w:pPr>
            <w:r>
              <w:t xml:space="preserve">Actual (₹L)</w:t>
            </w:r>
          </w:p>
        </w:tc>
        <w:tc>
          <w:tcPr/>
          <w:p>
            <w:pPr>
              <w:pStyle w:val="Compact"/>
              <w:jc w:val="left"/>
            </w:pPr>
            <w:r>
              <w:t xml:space="preserve">Variance</w:t>
            </w:r>
          </w:p>
        </w:tc>
        <w:tc>
          <w:tcPr/>
          <w:p>
            <w:pPr>
              <w:pStyle w:val="Compact"/>
              <w:jc w:val="left"/>
            </w:pPr>
            <w:r>
              <w:t xml:space="preserve">Variance %</w:t>
            </w:r>
          </w:p>
        </w:tc>
        <w:tc>
          <w:tcPr/>
          <w:p>
            <w:pPr>
              <w:pStyle w:val="Compact"/>
              <w:jc w:val="left"/>
            </w:pPr>
            <w:r>
              <w:t xml:space="preserve">Notes</w:t>
            </w:r>
          </w:p>
        </w:tc>
      </w:tr>
      <w:tr>
        <w:tc>
          <w:tcPr/>
          <w:p>
            <w:pPr>
              <w:pStyle w:val="Compact"/>
              <w:jc w:val="left"/>
            </w:pPr>
            <w:r>
              <w:t xml:space="preserve">Digital Advertising</w:t>
            </w:r>
          </w:p>
        </w:tc>
        <w:tc>
          <w:tcPr/>
          <w:p>
            <w:pPr>
              <w:pStyle w:val="Compact"/>
              <w:jc w:val="left"/>
            </w:pPr>
            <w:r>
              <w:t xml:space="preserve">450</w:t>
            </w:r>
          </w:p>
        </w:tc>
        <w:tc>
          <w:tcPr/>
          <w:p>
            <w:pPr>
              <w:pStyle w:val="Compact"/>
              <w:jc w:val="left"/>
            </w:pPr>
            <w:r>
              <w:t xml:space="preserve">476</w:t>
            </w:r>
          </w:p>
        </w:tc>
        <w:tc>
          <w:tcPr/>
          <w:p>
            <w:pPr>
              <w:pStyle w:val="Compact"/>
              <w:jc w:val="left"/>
            </w:pPr>
            <w:r>
              <w:t xml:space="preserve">+26</w:t>
            </w:r>
          </w:p>
        </w:tc>
        <w:tc>
          <w:tcPr/>
          <w:p>
            <w:pPr>
              <w:pStyle w:val="Compact"/>
              <w:jc w:val="left"/>
            </w:pPr>
            <w:r>
              <w:t xml:space="preserve">+5.8%</w:t>
            </w:r>
          </w:p>
        </w:tc>
        <w:tc>
          <w:tcPr/>
          <w:p>
            <w:pPr>
              <w:pStyle w:val="Compact"/>
              <w:jc w:val="left"/>
            </w:pPr>
            <w:r>
              <w:t xml:space="preserve">Strong performance justified overspend</w:t>
            </w:r>
          </w:p>
        </w:tc>
      </w:tr>
      <w:tr>
        <w:tc>
          <w:tcPr/>
          <w:p>
            <w:pPr>
              <w:pStyle w:val="Compact"/>
              <w:jc w:val="left"/>
            </w:pPr>
            <w:r>
              <w:t xml:space="preserve">Email &amp; Retention</w:t>
            </w:r>
          </w:p>
        </w:tc>
        <w:tc>
          <w:tcPr/>
          <w:p>
            <w:pPr>
              <w:pStyle w:val="Compact"/>
              <w:jc w:val="left"/>
            </w:pPr>
            <w:r>
              <w:t xml:space="preserve">180</w:t>
            </w:r>
          </w:p>
        </w:tc>
        <w:tc>
          <w:tcPr/>
          <w:p>
            <w:pPr>
              <w:pStyle w:val="Compact"/>
              <w:jc w:val="left"/>
            </w:pPr>
            <w:r>
              <w:t xml:space="preserve">193</w:t>
            </w:r>
          </w:p>
        </w:tc>
        <w:tc>
          <w:tcPr/>
          <w:p>
            <w:pPr>
              <w:pStyle w:val="Compact"/>
              <w:jc w:val="left"/>
            </w:pPr>
            <w:r>
              <w:t xml:space="preserve">+13</w:t>
            </w:r>
          </w:p>
        </w:tc>
        <w:tc>
          <w:tcPr/>
          <w:p>
            <w:pPr>
              <w:pStyle w:val="Compact"/>
              <w:jc w:val="left"/>
            </w:pPr>
            <w:r>
              <w:t xml:space="preserve">+7.2%</w:t>
            </w:r>
          </w:p>
        </w:tc>
        <w:tc>
          <w:tcPr/>
          <w:p>
            <w:pPr>
              <w:pStyle w:val="Compact"/>
              <w:jc w:val="left"/>
            </w:pPr>
            <w:r>
              <w:t xml:space="preserve">Loyalty program expansion</w:t>
            </w:r>
          </w:p>
        </w:tc>
      </w:tr>
      <w:tr>
        <w:tc>
          <w:tcPr/>
          <w:p>
            <w:pPr>
              <w:pStyle w:val="Compact"/>
              <w:jc w:val="left"/>
            </w:pPr>
            <w:r>
              <w:t xml:space="preserve">Influencer Marketing</w:t>
            </w:r>
          </w:p>
        </w:tc>
        <w:tc>
          <w:tcPr/>
          <w:p>
            <w:pPr>
              <w:pStyle w:val="Compact"/>
              <w:jc w:val="left"/>
            </w:pPr>
            <w:r>
              <w:t xml:space="preserve">130</w:t>
            </w:r>
          </w:p>
        </w:tc>
        <w:tc>
          <w:tcPr/>
          <w:p>
            <w:pPr>
              <w:pStyle w:val="Compact"/>
              <w:jc w:val="left"/>
            </w:pPr>
            <w:r>
              <w:t xml:space="preserve">140</w:t>
            </w:r>
          </w:p>
        </w:tc>
        <w:tc>
          <w:tcPr/>
          <w:p>
            <w:pPr>
              <w:pStyle w:val="Compact"/>
              <w:jc w:val="left"/>
            </w:pPr>
            <w:r>
              <w:t xml:space="preserve">+10</w:t>
            </w:r>
          </w:p>
        </w:tc>
        <w:tc>
          <w:tcPr/>
          <w:p>
            <w:pPr>
              <w:pStyle w:val="Compact"/>
              <w:jc w:val="left"/>
            </w:pPr>
            <w:r>
              <w:t xml:space="preserve">+7.7%</w:t>
            </w:r>
          </w:p>
        </w:tc>
        <w:tc>
          <w:tcPr/>
          <w:p>
            <w:pPr>
              <w:pStyle w:val="Compact"/>
              <w:jc w:val="left"/>
            </w:pPr>
            <w:r>
              <w:t xml:space="preserve">Higher-than-expected ROI drove investment</w:t>
            </w:r>
          </w:p>
        </w:tc>
      </w:tr>
      <w:tr>
        <w:tc>
          <w:tcPr/>
          <w:p>
            <w:pPr>
              <w:pStyle w:val="Compact"/>
              <w:jc w:val="left"/>
            </w:pPr>
            <w:r>
              <w:t xml:space="preserve">Video Content Production</w:t>
            </w:r>
          </w:p>
        </w:tc>
        <w:tc>
          <w:tcPr/>
          <w:p>
            <w:pPr>
              <w:pStyle w:val="Compact"/>
              <w:jc w:val="left"/>
            </w:pPr>
            <w:r>
              <w:t xml:space="preserve">90</w:t>
            </w:r>
          </w:p>
        </w:tc>
        <w:tc>
          <w:tcPr/>
          <w:p>
            <w:pPr>
              <w:pStyle w:val="Compact"/>
              <w:jc w:val="left"/>
            </w:pPr>
            <w:r>
              <w:t xml:space="preserve">116</w:t>
            </w:r>
          </w:p>
        </w:tc>
        <w:tc>
          <w:tcPr/>
          <w:p>
            <w:pPr>
              <w:pStyle w:val="Compact"/>
              <w:jc w:val="left"/>
            </w:pPr>
            <w:r>
              <w:t xml:space="preserve">+26</w:t>
            </w:r>
          </w:p>
        </w:tc>
        <w:tc>
          <w:tcPr/>
          <w:p>
            <w:pPr>
              <w:pStyle w:val="Compact"/>
              <w:jc w:val="left"/>
            </w:pPr>
            <w:r>
              <w:t xml:space="preserve">+28.9%</w:t>
            </w:r>
          </w:p>
        </w:tc>
        <w:tc>
          <w:tcPr/>
          <w:p>
            <w:pPr>
              <w:pStyle w:val="Compact"/>
              <w:jc w:val="left"/>
            </w:pPr>
            <w:r>
              <w:t xml:space="preserve">Content-driven growth opportunity identified</w:t>
            </w:r>
          </w:p>
        </w:tc>
      </w:tr>
      <w:tr>
        <w:tc>
          <w:tcPr/>
          <w:p>
            <w:pPr>
              <w:pStyle w:val="Compact"/>
              <w:jc w:val="left"/>
            </w:pPr>
            <w:r>
              <w:t xml:space="preserve">Events &amp; Sponsorships</w:t>
            </w:r>
          </w:p>
        </w:tc>
        <w:tc>
          <w:tcPr/>
          <w:p>
            <w:pPr>
              <w:pStyle w:val="Compact"/>
              <w:jc w:val="left"/>
            </w:pPr>
            <w:r>
              <w:t xml:space="preserve">150</w:t>
            </w:r>
          </w:p>
        </w:tc>
        <w:tc>
          <w:tcPr/>
          <w:p>
            <w:pPr>
              <w:pStyle w:val="Compact"/>
              <w:jc w:val="left"/>
            </w:pPr>
            <w:r>
              <w:t xml:space="preserve">131</w:t>
            </w:r>
          </w:p>
        </w:tc>
        <w:tc>
          <w:tcPr/>
          <w:p>
            <w:pPr>
              <w:pStyle w:val="Compact"/>
              <w:jc w:val="left"/>
            </w:pPr>
            <w:r>
              <w:t xml:space="preserve">-19</w:t>
            </w:r>
          </w:p>
        </w:tc>
        <w:tc>
          <w:tcPr/>
          <w:p>
            <w:pPr>
              <w:pStyle w:val="Compact"/>
              <w:jc w:val="left"/>
            </w:pPr>
            <w:r>
              <w:t xml:space="preserve">-12.7%</w:t>
            </w:r>
          </w:p>
        </w:tc>
        <w:tc>
          <w:tcPr/>
          <w:p>
            <w:pPr>
              <w:pStyle w:val="Compact"/>
              <w:jc w:val="left"/>
            </w:pPr>
            <w:r>
              <w:t xml:space="preserve">Underperformance; budget redirected</w:t>
            </w:r>
          </w:p>
        </w:tc>
      </w:tr>
      <w:tr>
        <w:tc>
          <w:tcPr/>
          <w:p>
            <w:pPr>
              <w:pStyle w:val="Compact"/>
              <w:jc w:val="left"/>
            </w:pPr>
            <w:r>
              <w:t xml:space="preserve">Content Marketing &amp; SEO</w:t>
            </w:r>
          </w:p>
        </w:tc>
        <w:tc>
          <w:tcPr/>
          <w:p>
            <w:pPr>
              <w:pStyle w:val="Compact"/>
              <w:jc w:val="left"/>
            </w:pPr>
            <w:r>
              <w:t xml:space="preserve">85</w:t>
            </w:r>
          </w:p>
        </w:tc>
        <w:tc>
          <w:tcPr/>
          <w:p>
            <w:pPr>
              <w:pStyle w:val="Compact"/>
              <w:jc w:val="left"/>
            </w:pPr>
            <w:r>
              <w:t xml:space="preserve">98</w:t>
            </w:r>
          </w:p>
        </w:tc>
        <w:tc>
          <w:tcPr/>
          <w:p>
            <w:pPr>
              <w:pStyle w:val="Compact"/>
              <w:jc w:val="left"/>
            </w:pPr>
            <w:r>
              <w:t xml:space="preserve">+13</w:t>
            </w:r>
          </w:p>
        </w:tc>
        <w:tc>
          <w:tcPr/>
          <w:p>
            <w:pPr>
              <w:pStyle w:val="Compact"/>
              <w:jc w:val="left"/>
            </w:pPr>
            <w:r>
              <w:t xml:space="preserve">+15.3%</w:t>
            </w:r>
          </w:p>
        </w:tc>
        <w:tc>
          <w:tcPr/>
          <w:p>
            <w:pPr>
              <w:pStyle w:val="Compact"/>
              <w:jc w:val="left"/>
            </w:pPr>
            <w:r>
              <w:t xml:space="preserve">Long-term brand building investment</w:t>
            </w:r>
          </w:p>
        </w:tc>
      </w:tr>
      <w:tr>
        <w:tc>
          <w:tcPr/>
          <w:p>
            <w:pPr>
              <w:pStyle w:val="Compact"/>
              <w:jc w:val="left"/>
            </w:pPr>
            <w:r>
              <w:t xml:space="preserve">Paid Search</w:t>
            </w:r>
          </w:p>
        </w:tc>
        <w:tc>
          <w:tcPr/>
          <w:p>
            <w:pPr>
              <w:pStyle w:val="Compact"/>
              <w:jc w:val="left"/>
            </w:pPr>
            <w:r>
              <w:t xml:space="preserve">110</w:t>
            </w:r>
          </w:p>
        </w:tc>
        <w:tc>
          <w:tcPr/>
          <w:p>
            <w:pPr>
              <w:pStyle w:val="Compact"/>
              <w:jc w:val="left"/>
            </w:pPr>
            <w:r>
              <w:t xml:space="preserve">125</w:t>
            </w:r>
          </w:p>
        </w:tc>
        <w:tc>
          <w:tcPr/>
          <w:p>
            <w:pPr>
              <w:pStyle w:val="Compact"/>
              <w:jc w:val="left"/>
            </w:pPr>
            <w:r>
              <w:t xml:space="preserve">+15</w:t>
            </w:r>
          </w:p>
        </w:tc>
        <w:tc>
          <w:tcPr/>
          <w:p>
            <w:pPr>
              <w:pStyle w:val="Compact"/>
              <w:jc w:val="left"/>
            </w:pPr>
            <w:r>
              <w:t xml:space="preserve">+13.6%</w:t>
            </w:r>
          </w:p>
        </w:tc>
        <w:tc>
          <w:tcPr/>
          <w:p>
            <w:pPr>
              <w:pStyle w:val="Compact"/>
              <w:jc w:val="left"/>
            </w:pPr>
            <w:r>
              <w:t xml:space="preserve">Strong ROAS warranted increase</w:t>
            </w:r>
          </w:p>
        </w:tc>
      </w:tr>
      <w:tr>
        <w:tc>
          <w:tcPr/>
          <w:p>
            <w:pPr>
              <w:pStyle w:val="Compact"/>
              <w:jc w:val="left"/>
            </w:pPr>
            <w:r>
              <w:t xml:space="preserve">Partnerships &amp; Co-marketing</w:t>
            </w:r>
          </w:p>
        </w:tc>
        <w:tc>
          <w:tcPr/>
          <w:p>
            <w:pPr>
              <w:pStyle w:val="Compact"/>
              <w:jc w:val="left"/>
            </w:pPr>
            <w:r>
              <w:t xml:space="preserve">85</w:t>
            </w:r>
          </w:p>
        </w:tc>
        <w:tc>
          <w:tcPr/>
          <w:p>
            <w:pPr>
              <w:pStyle w:val="Compact"/>
              <w:jc w:val="left"/>
            </w:pPr>
            <w:r>
              <w:t xml:space="preserve">58</w:t>
            </w:r>
          </w:p>
        </w:tc>
        <w:tc>
          <w:tcPr/>
          <w:p>
            <w:pPr>
              <w:pStyle w:val="Compact"/>
              <w:jc w:val="left"/>
            </w:pPr>
            <w:r>
              <w:t xml:space="preserve">-27</w:t>
            </w:r>
          </w:p>
        </w:tc>
        <w:tc>
          <w:tcPr/>
          <w:p>
            <w:pPr>
              <w:pStyle w:val="Compact"/>
              <w:jc w:val="left"/>
            </w:pPr>
            <w:r>
              <w:t xml:space="preserve">-31.8%</w:t>
            </w:r>
          </w:p>
        </w:tc>
        <w:tc>
          <w:tcPr/>
          <w:p>
            <w:pPr>
              <w:pStyle w:val="Compact"/>
              <w:jc w:val="left"/>
            </w:pPr>
            <w:r>
              <w:t xml:space="preserve">Consistent underperformance</w:t>
            </w:r>
          </w:p>
        </w:tc>
      </w:tr>
      <w:tr>
        <w:tc>
          <w:tcPr/>
          <w:p>
            <w:pPr>
              <w:pStyle w:val="Compact"/>
              <w:jc w:val="left"/>
            </w:pPr>
            <w:r>
              <w:t xml:space="preserve">SMS &amp; Push Notifications</w:t>
            </w:r>
          </w:p>
        </w:tc>
        <w:tc>
          <w:tcPr/>
          <w:p>
            <w:pPr>
              <w:pStyle w:val="Compact"/>
              <w:jc w:val="left"/>
            </w:pPr>
            <w:r>
              <w:t xml:space="preserve">20</w:t>
            </w:r>
          </w:p>
        </w:tc>
        <w:tc>
          <w:tcPr/>
          <w:p>
            <w:pPr>
              <w:pStyle w:val="Compact"/>
              <w:jc w:val="left"/>
            </w:pPr>
            <w:r>
              <w:t xml:space="preserve">38</w:t>
            </w:r>
          </w:p>
        </w:tc>
        <w:tc>
          <w:tcPr/>
          <w:p>
            <w:pPr>
              <w:pStyle w:val="Compact"/>
              <w:jc w:val="left"/>
            </w:pPr>
            <w:r>
              <w:t xml:space="preserve">+18</w:t>
            </w:r>
          </w:p>
        </w:tc>
        <w:tc>
          <w:tcPr/>
          <w:p>
            <w:pPr>
              <w:pStyle w:val="Compact"/>
              <w:jc w:val="left"/>
            </w:pPr>
            <w:r>
              <w:t xml:space="preserve">+90%</w:t>
            </w:r>
          </w:p>
        </w:tc>
        <w:tc>
          <w:tcPr/>
          <w:p>
            <w:pPr>
              <w:pStyle w:val="Compact"/>
              <w:jc w:val="left"/>
            </w:pPr>
            <w:r>
              <w:t xml:space="preserve">High ROI emerging channel</w:t>
            </w:r>
          </w:p>
        </w:tc>
      </w:tr>
      <w:tr>
        <w:tc>
          <w:tcPr/>
          <w:p>
            <w:pPr>
              <w:pStyle w:val="Compact"/>
              <w:jc w:val="left"/>
            </w:pPr>
            <w:r>
              <w:t xml:space="preserve">Analytics &amp; Marketing Tools</w:t>
            </w:r>
          </w:p>
        </w:tc>
        <w:tc>
          <w:tcPr/>
          <w:p>
            <w:pPr>
              <w:pStyle w:val="Compact"/>
              <w:jc w:val="left"/>
            </w:pPr>
            <w:r>
              <w:t xml:space="preserve">55</w:t>
            </w:r>
          </w:p>
        </w:tc>
        <w:tc>
          <w:tcPr/>
          <w:p>
            <w:pPr>
              <w:pStyle w:val="Compact"/>
              <w:jc w:val="left"/>
            </w:pPr>
            <w:r>
              <w:t xml:space="preserve">30</w:t>
            </w:r>
          </w:p>
        </w:tc>
        <w:tc>
          <w:tcPr/>
          <w:p>
            <w:pPr>
              <w:pStyle w:val="Compact"/>
              <w:jc w:val="left"/>
            </w:pPr>
            <w:r>
              <w:t xml:space="preserve">-25</w:t>
            </w:r>
          </w:p>
        </w:tc>
        <w:tc>
          <w:tcPr/>
          <w:p>
            <w:pPr>
              <w:pStyle w:val="Compact"/>
              <w:jc w:val="left"/>
            </w:pPr>
            <w:r>
              <w:t xml:space="preserve">-45.5%</w:t>
            </w:r>
          </w:p>
        </w:tc>
        <w:tc>
          <w:tcPr/>
          <w:p>
            <w:pPr>
              <w:pStyle w:val="Compact"/>
              <w:jc w:val="left"/>
            </w:pPr>
            <w:r>
              <w:t xml:space="preserve">Efficient tool consolidation</w:t>
            </w:r>
          </w:p>
        </w:tc>
      </w:tr>
      <w:tr>
        <w:tc>
          <w:tcPr/>
          <w:p>
            <w:pPr>
              <w:pStyle w:val="Compact"/>
              <w:jc w:val="left"/>
            </w:pPr>
            <w:r>
              <w:t xml:space="preserve">Contingency / Other</w:t>
            </w:r>
          </w:p>
        </w:tc>
        <w:tc>
          <w:tcPr/>
          <w:p>
            <w:pPr>
              <w:pStyle w:val="Compact"/>
              <w:jc w:val="left"/>
            </w:pPr>
            <w:r>
              <w:t xml:space="preserve">70</w:t>
            </w:r>
          </w:p>
        </w:tc>
        <w:tc>
          <w:tcPr/>
          <w:p>
            <w:pPr>
              <w:pStyle w:val="Compact"/>
              <w:jc w:val="left"/>
            </w:pPr>
            <w:r>
              <w:t xml:space="preserve">4</w:t>
            </w:r>
          </w:p>
        </w:tc>
        <w:tc>
          <w:tcPr/>
          <w:p>
            <w:pPr>
              <w:pStyle w:val="Compact"/>
              <w:jc w:val="left"/>
            </w:pPr>
            <w:r>
              <w:t xml:space="preserve">-66</w:t>
            </w:r>
          </w:p>
        </w:tc>
        <w:tc>
          <w:tcPr/>
          <w:p>
            <w:pPr>
              <w:pStyle w:val="Compact"/>
              <w:jc w:val="left"/>
            </w:pPr>
            <w:r>
              <w:t xml:space="preserve">-94.3%</w:t>
            </w:r>
          </w:p>
        </w:tc>
        <w:tc>
          <w:tcPr/>
          <w:p>
            <w:pPr>
              <w:pStyle w:val="Compact"/>
              <w:jc w:val="left"/>
            </w:pPr>
            <w:r>
              <w:t xml:space="preserve">Minimal contingency needs</w:t>
            </w:r>
          </w:p>
        </w:tc>
      </w:tr>
      <w:tr>
        <w:tc>
          <w:tcPr/>
          <w:p>
            <w:pPr>
              <w:pStyle w:val="Compact"/>
              <w:jc w:val="left"/>
            </w:pPr>
            <w:r>
              <w:rPr>
                <w:b/>
                <w:bCs/>
              </w:rPr>
              <w:t xml:space="preserve">TOTAL</w:t>
            </w:r>
          </w:p>
        </w:tc>
        <w:tc>
          <w:tcPr/>
          <w:p>
            <w:pPr>
              <w:pStyle w:val="Compact"/>
              <w:jc w:val="left"/>
            </w:pPr>
            <w:r>
              <w:rPr>
                <w:b/>
                <w:bCs/>
              </w:rPr>
              <w:t xml:space="preserve">1,425</w:t>
            </w:r>
          </w:p>
        </w:tc>
        <w:tc>
          <w:tcPr/>
          <w:p>
            <w:pPr>
              <w:pStyle w:val="Compact"/>
              <w:jc w:val="left"/>
            </w:pPr>
            <w:r>
              <w:rPr>
                <w:b/>
                <w:bCs/>
              </w:rPr>
              <w:t xml:space="preserve">1,330</w:t>
            </w:r>
          </w:p>
        </w:tc>
        <w:tc>
          <w:tcPr/>
          <w:p>
            <w:pPr>
              <w:pStyle w:val="Compact"/>
              <w:jc w:val="left"/>
            </w:pPr>
            <w:r>
              <w:rPr>
                <w:b/>
                <w:bCs/>
              </w:rPr>
              <w:t xml:space="preserve">-95</w:t>
            </w:r>
          </w:p>
        </w:tc>
        <w:tc>
          <w:tcPr/>
          <w:p>
            <w:pPr>
              <w:pStyle w:val="Compact"/>
              <w:jc w:val="left"/>
            </w:pPr>
            <w:r>
              <w:rPr>
                <w:b/>
                <w:bCs/>
              </w:rPr>
              <w:t xml:space="preserve">-6.7%</w:t>
            </w:r>
          </w:p>
        </w:tc>
        <w:tc>
          <w:tcPr/>
          <w:p>
            <w:pPr>
              <w:pStyle w:val="Compact"/>
              <w:jc w:val="left"/>
            </w:pPr>
            <w:r>
              <w:t xml:space="preserve">93.3% budget efficiency</w:t>
            </w:r>
          </w:p>
        </w:tc>
      </w:tr>
    </w:tbl>
    <w:p>
      <w:pPr>
        <w:pStyle w:val="BodyText"/>
      </w:pPr>
      <w:r>
        <w:rPr>
          <w:b/>
          <w:bCs/>
        </w:rPr>
        <w:t xml:space="preserve">Budget Insights:</w:t>
      </w:r>
      <w:r>
        <w:t xml:space="preserve"> </w:t>
      </w:r>
      <w:r>
        <w:t xml:space="preserve">- Overall efficiency: 93.3% (underspent by ₹95L vs. planned ₹1,425L)</w:t>
      </w:r>
      <w:r>
        <w:t xml:space="preserve"> </w:t>
      </w:r>
      <w:r>
        <w:t xml:space="preserve">- Overspent on high-ROI channels: Digital ads (+5.8%), Video (+28.9%), Paid Search (+13.6%), SMS (+90%)</w:t>
      </w:r>
      <w:r>
        <w:t xml:space="preserve"> </w:t>
      </w:r>
      <w:r>
        <w:t xml:space="preserve">- Underspent on low-ROI channels: Events (-12.7%), Partnerships (-31.8%), reallocated to better performers</w:t>
      </w:r>
      <w:r>
        <w:t xml:space="preserve"> </w:t>
      </w:r>
      <w:r>
        <w:t xml:space="preserve">- Marketing spend growth (18.2% YoY) outpaced revenue growth target, but ROI improvement (24.1% YoY) justified investment</w:t>
      </w:r>
    </w:p>
    <w:p>
      <w:r>
        <w:pict>
          <v:rect style="width:0;height:1.5pt" o:hralign="center" o:hrstd="t" o:hr="t"/>
        </w:pict>
      </w:r>
    </w:p>
    <w:bookmarkEnd w:id="31"/>
    <w:bookmarkStart w:id="32" w:name="key-performance-indicators-2024"/>
    <w:p>
      <w:pPr>
        <w:pStyle w:val="Heading2"/>
      </w:pPr>
      <w:r>
        <w:t xml:space="preserve">Key Performance Indicators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KPI</w:t>
            </w:r>
          </w:p>
        </w:tc>
        <w:tc>
          <w:tcPr/>
          <w:p>
            <w:pPr>
              <w:pStyle w:val="Compact"/>
              <w:jc w:val="left"/>
            </w:pPr>
            <w:r>
              <w:t xml:space="preserve">2024 Target</w:t>
            </w:r>
          </w:p>
        </w:tc>
        <w:tc>
          <w:tcPr/>
          <w:p>
            <w:pPr>
              <w:pStyle w:val="Compact"/>
              <w:jc w:val="left"/>
            </w:pPr>
            <w:r>
              <w:t xml:space="preserve">2024 Actual</w:t>
            </w:r>
          </w:p>
        </w:tc>
        <w:tc>
          <w:tcPr/>
          <w:p>
            <w:pPr>
              <w:pStyle w:val="Compact"/>
              <w:jc w:val="left"/>
            </w:pPr>
            <w:r>
              <w:t xml:space="preserve">2023 Actual</w:t>
            </w:r>
          </w:p>
        </w:tc>
        <w:tc>
          <w:tcPr/>
          <w:p>
            <w:pPr>
              <w:pStyle w:val="Compact"/>
              <w:jc w:val="left"/>
            </w:pPr>
            <w:r>
              <w:t xml:space="preserve">YoY vs. 2023</w:t>
            </w:r>
          </w:p>
        </w:tc>
        <w:tc>
          <w:tcPr/>
          <w:p>
            <w:pPr>
              <w:pStyle w:val="Compact"/>
              <w:jc w:val="left"/>
            </w:pPr>
            <w:r>
              <w:t xml:space="preserve">Status</w:t>
            </w:r>
          </w:p>
        </w:tc>
      </w:tr>
      <w:tr>
        <w:tc>
          <w:tcPr/>
          <w:p>
            <w:pPr>
              <w:pStyle w:val="Compact"/>
              <w:jc w:val="left"/>
            </w:pPr>
            <w:r>
              <w:t xml:space="preserve">Customer Acquisition</w:t>
            </w:r>
          </w:p>
        </w:tc>
        <w:tc>
          <w:tcPr/>
          <w:p>
            <w:pPr>
              <w:pStyle w:val="Compact"/>
              <w:jc w:val="left"/>
            </w:pPr>
            <w:r>
              <w:t xml:space="preserve">650,000</w:t>
            </w:r>
          </w:p>
        </w:tc>
        <w:tc>
          <w:tcPr/>
          <w:p>
            <w:pPr>
              <w:pStyle w:val="Compact"/>
              <w:jc w:val="left"/>
            </w:pPr>
            <w:r>
              <w:t xml:space="preserve">685,100</w:t>
            </w:r>
          </w:p>
        </w:tc>
        <w:tc>
          <w:tcPr/>
          <w:p>
            <w:pPr>
              <w:pStyle w:val="Compact"/>
              <w:jc w:val="left"/>
            </w:pPr>
            <w:r>
              <w:t xml:space="preserve">571,200</w:t>
            </w:r>
          </w:p>
        </w:tc>
        <w:tc>
          <w:tcPr/>
          <w:p>
            <w:pPr>
              <w:pStyle w:val="Compact"/>
              <w:jc w:val="left"/>
            </w:pPr>
            <w:r>
              <w:t xml:space="preserve">+19.9%</w:t>
            </w:r>
          </w:p>
        </w:tc>
        <w:tc>
          <w:tcPr/>
          <w:p>
            <w:pPr>
              <w:pStyle w:val="Compact"/>
              <w:jc w:val="left"/>
            </w:pPr>
            <w:r>
              <w:t xml:space="preserve">✓ Beat</w:t>
            </w:r>
          </w:p>
        </w:tc>
      </w:tr>
      <w:tr>
        <w:tc>
          <w:tcPr/>
          <w:p>
            <w:pPr>
              <w:pStyle w:val="Compact"/>
              <w:jc w:val="left"/>
            </w:pPr>
            <w:r>
              <w:t xml:space="preserve">Revenue (₹L)</w:t>
            </w:r>
          </w:p>
        </w:tc>
        <w:tc>
          <w:tcPr/>
          <w:p>
            <w:pPr>
              <w:pStyle w:val="Compact"/>
              <w:jc w:val="left"/>
            </w:pPr>
            <w:r>
              <w:t xml:space="preserve">340</w:t>
            </w:r>
          </w:p>
        </w:tc>
        <w:tc>
          <w:tcPr/>
          <w:p>
            <w:pPr>
              <w:pStyle w:val="Compact"/>
              <w:jc w:val="left"/>
            </w:pPr>
            <w:r>
              <w:t xml:space="preserve">355</w:t>
            </w:r>
          </w:p>
        </w:tc>
        <w:tc>
          <w:tcPr/>
          <w:p>
            <w:pPr>
              <w:pStyle w:val="Compact"/>
              <w:jc w:val="left"/>
            </w:pPr>
            <w:r>
              <w:t xml:space="preserve">285</w:t>
            </w:r>
          </w:p>
        </w:tc>
        <w:tc>
          <w:tcPr/>
          <w:p>
            <w:pPr>
              <w:pStyle w:val="Compact"/>
              <w:jc w:val="left"/>
            </w:pPr>
            <w:r>
              <w:t xml:space="preserve">+24.6%</w:t>
            </w:r>
          </w:p>
        </w:tc>
        <w:tc>
          <w:tcPr/>
          <w:p>
            <w:pPr>
              <w:pStyle w:val="Compact"/>
              <w:jc w:val="left"/>
            </w:pPr>
            <w:r>
              <w:t xml:space="preserve">✓ Beat</w:t>
            </w:r>
          </w:p>
        </w:tc>
      </w:tr>
      <w:tr>
        <w:tc>
          <w:tcPr/>
          <w:p>
            <w:pPr>
              <w:pStyle w:val="Compact"/>
              <w:jc w:val="left"/>
            </w:pPr>
            <w:r>
              <w:t xml:space="preserve">Average ROI</w:t>
            </w:r>
          </w:p>
        </w:tc>
        <w:tc>
          <w:tcPr/>
          <w:p>
            <w:pPr>
              <w:pStyle w:val="Compact"/>
              <w:jc w:val="left"/>
            </w:pPr>
            <w:r>
              <w:t xml:space="preserve">3.0x</w:t>
            </w:r>
          </w:p>
        </w:tc>
        <w:tc>
          <w:tcPr/>
          <w:p>
            <w:pPr>
              <w:pStyle w:val="Compact"/>
              <w:jc w:val="left"/>
            </w:pPr>
            <w:r>
              <w:t xml:space="preserve">3.14x</w:t>
            </w:r>
          </w:p>
        </w:tc>
        <w:tc>
          <w:tcPr/>
          <w:p>
            <w:pPr>
              <w:pStyle w:val="Compact"/>
              <w:jc w:val="left"/>
            </w:pPr>
            <w:r>
              <w:t xml:space="preserve">2.53x</w:t>
            </w:r>
          </w:p>
        </w:tc>
        <w:tc>
          <w:tcPr/>
          <w:p>
            <w:pPr>
              <w:pStyle w:val="Compact"/>
              <w:jc w:val="left"/>
            </w:pPr>
            <w:r>
              <w:t xml:space="preserve">+24.1%</w:t>
            </w:r>
          </w:p>
        </w:tc>
        <w:tc>
          <w:tcPr/>
          <w:p>
            <w:pPr>
              <w:pStyle w:val="Compact"/>
              <w:jc w:val="left"/>
            </w:pPr>
            <w:r>
              <w:t xml:space="preserve">✓ Beat</w:t>
            </w:r>
          </w:p>
        </w:tc>
      </w:tr>
      <w:tr>
        <w:tc>
          <w:tcPr/>
          <w:p>
            <w:pPr>
              <w:pStyle w:val="Compact"/>
              <w:jc w:val="left"/>
            </w:pPr>
            <w:r>
              <w:t xml:space="preserve">CAC</w:t>
            </w:r>
          </w:p>
        </w:tc>
        <w:tc>
          <w:tcPr/>
          <w:p>
            <w:pPr>
              <w:pStyle w:val="Compact"/>
              <w:jc w:val="left"/>
            </w:pPr>
            <w:r>
              <w:t xml:space="preserve">₹2,000</w:t>
            </w:r>
          </w:p>
        </w:tc>
        <w:tc>
          <w:tcPr/>
          <w:p>
            <w:pPr>
              <w:pStyle w:val="Compact"/>
              <w:jc w:val="left"/>
            </w:pPr>
            <w:r>
              <w:t xml:space="preserve">₹1,812</w:t>
            </w:r>
          </w:p>
        </w:tc>
        <w:tc>
          <w:tcPr/>
          <w:p>
            <w:pPr>
              <w:pStyle w:val="Compact"/>
              <w:jc w:val="left"/>
            </w:pPr>
            <w:r>
              <w:t xml:space="preserve">₹1,971</w:t>
            </w:r>
          </w:p>
        </w:tc>
        <w:tc>
          <w:tcPr/>
          <w:p>
            <w:pPr>
              <w:pStyle w:val="Compact"/>
              <w:jc w:val="left"/>
            </w:pPr>
            <w:r>
              <w:t xml:space="preserve">-8.1%</w:t>
            </w:r>
          </w:p>
        </w:tc>
        <w:tc>
          <w:tcPr/>
          <w:p>
            <w:pPr>
              <w:pStyle w:val="Compact"/>
              <w:jc w:val="left"/>
            </w:pPr>
            <w:r>
              <w:t xml:space="preserve">✓ Beat</w:t>
            </w:r>
          </w:p>
        </w:tc>
      </w:tr>
      <w:tr>
        <w:tc>
          <w:tcPr/>
          <w:p>
            <w:pPr>
              <w:pStyle w:val="Compact"/>
              <w:jc w:val="left"/>
            </w:pPr>
            <w:r>
              <w:t xml:space="preserve">Conversion Rate</w:t>
            </w:r>
          </w:p>
        </w:tc>
        <w:tc>
          <w:tcPr/>
          <w:p>
            <w:pPr>
              <w:pStyle w:val="Compact"/>
              <w:jc w:val="left"/>
            </w:pPr>
            <w:r>
              <w:t xml:space="preserve">10.5%</w:t>
            </w:r>
          </w:p>
        </w:tc>
        <w:tc>
          <w:tcPr/>
          <w:p>
            <w:pPr>
              <w:pStyle w:val="Compact"/>
              <w:jc w:val="left"/>
            </w:pPr>
            <w:r>
              <w:t xml:space="preserve">10.8%</w:t>
            </w:r>
          </w:p>
        </w:tc>
        <w:tc>
          <w:tcPr/>
          <w:p>
            <w:pPr>
              <w:pStyle w:val="Compact"/>
              <w:jc w:val="left"/>
            </w:pPr>
            <w:r>
              <w:t xml:space="preserve">8.2%</w:t>
            </w:r>
          </w:p>
        </w:tc>
        <w:tc>
          <w:tcPr/>
          <w:p>
            <w:pPr>
              <w:pStyle w:val="Compact"/>
              <w:jc w:val="left"/>
            </w:pPr>
            <w:r>
              <w:t xml:space="preserve">+31.7%</w:t>
            </w:r>
          </w:p>
        </w:tc>
        <w:tc>
          <w:tcPr/>
          <w:p>
            <w:pPr>
              <w:pStyle w:val="Compact"/>
              <w:jc w:val="left"/>
            </w:pPr>
            <w:r>
              <w:t xml:space="preserve">✓ Beat</w:t>
            </w:r>
          </w:p>
        </w:tc>
      </w:tr>
      <w:tr>
        <w:tc>
          <w:tcPr/>
          <w:p>
            <w:pPr>
              <w:pStyle w:val="Compact"/>
              <w:jc w:val="left"/>
            </w:pPr>
            <w:r>
              <w:t xml:space="preserve">Email Open Rate</w:t>
            </w:r>
          </w:p>
        </w:tc>
        <w:tc>
          <w:tcPr/>
          <w:p>
            <w:pPr>
              <w:pStyle w:val="Compact"/>
              <w:jc w:val="left"/>
            </w:pPr>
            <w:r>
              <w:t xml:space="preserve">24%</w:t>
            </w:r>
          </w:p>
        </w:tc>
        <w:tc>
          <w:tcPr/>
          <w:p>
            <w:pPr>
              <w:pStyle w:val="Compact"/>
              <w:jc w:val="left"/>
            </w:pPr>
            <w:r>
              <w:t xml:space="preserve">26.4%</w:t>
            </w:r>
          </w:p>
        </w:tc>
        <w:tc>
          <w:tcPr/>
          <w:p>
            <w:pPr>
              <w:pStyle w:val="Compact"/>
              <w:jc w:val="left"/>
            </w:pPr>
            <w:r>
              <w:t xml:space="preserve">22%</w:t>
            </w:r>
          </w:p>
        </w:tc>
        <w:tc>
          <w:tcPr/>
          <w:p>
            <w:pPr>
              <w:pStyle w:val="Compact"/>
              <w:jc w:val="left"/>
            </w:pPr>
            <w:r>
              <w:t xml:space="preserve">+20%</w:t>
            </w:r>
          </w:p>
        </w:tc>
        <w:tc>
          <w:tcPr/>
          <w:p>
            <w:pPr>
              <w:pStyle w:val="Compact"/>
              <w:jc w:val="left"/>
            </w:pPr>
            <w:r>
              <w:t xml:space="preserve">✓ Beat</w:t>
            </w:r>
          </w:p>
        </w:tc>
      </w:tr>
      <w:tr>
        <w:tc>
          <w:tcPr/>
          <w:p>
            <w:pPr>
              <w:pStyle w:val="Compact"/>
              <w:jc w:val="left"/>
            </w:pPr>
            <w:r>
              <w:t xml:space="preserve">CTR (Paid Ads)</w:t>
            </w:r>
          </w:p>
        </w:tc>
        <w:tc>
          <w:tcPr/>
          <w:p>
            <w:pPr>
              <w:pStyle w:val="Compact"/>
              <w:jc w:val="left"/>
            </w:pPr>
            <w:r>
              <w:t xml:space="preserve">2.2%</w:t>
            </w:r>
          </w:p>
        </w:tc>
        <w:tc>
          <w:tcPr/>
          <w:p>
            <w:pPr>
              <w:pStyle w:val="Compact"/>
              <w:jc w:val="left"/>
            </w:pPr>
            <w:r>
              <w:t xml:space="preserve">2.3%</w:t>
            </w:r>
          </w:p>
        </w:tc>
        <w:tc>
          <w:tcPr/>
          <w:p>
            <w:pPr>
              <w:pStyle w:val="Compact"/>
              <w:jc w:val="left"/>
            </w:pPr>
            <w:r>
              <w:t xml:space="preserve">1.9%</w:t>
            </w:r>
          </w:p>
        </w:tc>
        <w:tc>
          <w:tcPr/>
          <w:p>
            <w:pPr>
              <w:pStyle w:val="Compact"/>
              <w:jc w:val="left"/>
            </w:pPr>
            <w:r>
              <w:t xml:space="preserve">+21.1%</w:t>
            </w:r>
          </w:p>
        </w:tc>
        <w:tc>
          <w:tcPr/>
          <w:p>
            <w:pPr>
              <w:pStyle w:val="Compact"/>
              <w:jc w:val="left"/>
            </w:pPr>
            <w:r>
              <w:t xml:space="preserve">✓ Beat</w:t>
            </w:r>
          </w:p>
        </w:tc>
      </w:tr>
      <w:tr>
        <w:tc>
          <w:tcPr/>
          <w:p>
            <w:pPr>
              <w:pStyle w:val="Compact"/>
              <w:jc w:val="left"/>
            </w:pPr>
            <w:r>
              <w:t xml:space="preserve">Social Media Followers</w:t>
            </w:r>
          </w:p>
        </w:tc>
        <w:tc>
          <w:tcPr/>
          <w:p>
            <w:pPr>
              <w:pStyle w:val="Compact"/>
              <w:jc w:val="left"/>
            </w:pPr>
            <w:r>
              <w:t xml:space="preserve">1.2M</w:t>
            </w:r>
          </w:p>
        </w:tc>
        <w:tc>
          <w:tcPr/>
          <w:p>
            <w:pPr>
              <w:pStyle w:val="Compact"/>
              <w:jc w:val="left"/>
            </w:pPr>
            <w:r>
              <w:t xml:space="preserve">1.83M</w:t>
            </w:r>
          </w:p>
        </w:tc>
        <w:tc>
          <w:tcPr/>
          <w:p>
            <w:pPr>
              <w:pStyle w:val="Compact"/>
              <w:jc w:val="left"/>
            </w:pPr>
            <w:r>
              <w:t xml:space="preserve">385K</w:t>
            </w:r>
          </w:p>
        </w:tc>
        <w:tc>
          <w:tcPr/>
          <w:p>
            <w:pPr>
              <w:pStyle w:val="Compact"/>
              <w:jc w:val="left"/>
            </w:pPr>
            <w:r>
              <w:t xml:space="preserve">+375%</w:t>
            </w:r>
          </w:p>
        </w:tc>
        <w:tc>
          <w:tcPr/>
          <w:p>
            <w:pPr>
              <w:pStyle w:val="Compact"/>
              <w:jc w:val="left"/>
            </w:pPr>
            <w:r>
              <w:t xml:space="preserve">✓ Beat</w:t>
            </w:r>
          </w:p>
        </w:tc>
      </w:tr>
      <w:tr>
        <w:tc>
          <w:tcPr/>
          <w:p>
            <w:pPr>
              <w:pStyle w:val="Compact"/>
              <w:jc w:val="left"/>
            </w:pPr>
            <w:r>
              <w:t xml:space="preserve">Brand Awareness</w:t>
            </w:r>
          </w:p>
        </w:tc>
        <w:tc>
          <w:tcPr/>
          <w:p>
            <w:pPr>
              <w:pStyle w:val="Compact"/>
              <w:jc w:val="left"/>
            </w:pPr>
            <w:r>
              <w:t xml:space="preserve">35%</w:t>
            </w:r>
          </w:p>
        </w:tc>
        <w:tc>
          <w:tcPr/>
          <w:p>
            <w:pPr>
              <w:pStyle w:val="Compact"/>
              <w:jc w:val="left"/>
            </w:pPr>
            <w:r>
              <w:t xml:space="preserve">38%</w:t>
            </w:r>
          </w:p>
        </w:tc>
        <w:tc>
          <w:tcPr/>
          <w:p>
            <w:pPr>
              <w:pStyle w:val="Compact"/>
              <w:jc w:val="left"/>
            </w:pPr>
            <w:r>
              <w:t xml:space="preserve">22%</w:t>
            </w:r>
          </w:p>
        </w:tc>
        <w:tc>
          <w:tcPr/>
          <w:p>
            <w:pPr>
              <w:pStyle w:val="Compact"/>
              <w:jc w:val="left"/>
            </w:pPr>
            <w:r>
              <w:t xml:space="preserve">+72.7%</w:t>
            </w:r>
          </w:p>
        </w:tc>
        <w:tc>
          <w:tcPr/>
          <w:p>
            <w:pPr>
              <w:pStyle w:val="Compact"/>
              <w:jc w:val="left"/>
            </w:pPr>
            <w:r>
              <w:t xml:space="preserve">✓ Beat</w:t>
            </w:r>
          </w:p>
        </w:tc>
      </w:tr>
      <w:tr>
        <w:tc>
          <w:tcPr/>
          <w:p>
            <w:pPr>
              <w:pStyle w:val="Compact"/>
              <w:jc w:val="left"/>
            </w:pPr>
            <w:r>
              <w:t xml:space="preserve">Geographic Markets</w:t>
            </w:r>
          </w:p>
        </w:tc>
        <w:tc>
          <w:tcPr/>
          <w:p>
            <w:pPr>
              <w:pStyle w:val="Compact"/>
              <w:jc w:val="left"/>
            </w:pPr>
            <w:r>
              <w:t xml:space="preserve">8</w:t>
            </w:r>
          </w:p>
        </w:tc>
        <w:tc>
          <w:tcPr/>
          <w:p>
            <w:pPr>
              <w:pStyle w:val="Compact"/>
              <w:jc w:val="left"/>
            </w:pPr>
            <w:r>
              <w:t xml:space="preserve">10</w:t>
            </w:r>
          </w:p>
        </w:tc>
        <w:tc>
          <w:tcPr/>
          <w:p>
            <w:pPr>
              <w:pStyle w:val="Compact"/>
              <w:jc w:val="left"/>
            </w:pPr>
            <w:r>
              <w:t xml:space="preserve">5</w:t>
            </w:r>
          </w:p>
        </w:tc>
        <w:tc>
          <w:tcPr/>
          <w:p>
            <w:pPr>
              <w:pStyle w:val="Compact"/>
              <w:jc w:val="left"/>
            </w:pPr>
            <w:r>
              <w:t xml:space="preserve">+100%</w:t>
            </w:r>
          </w:p>
        </w:tc>
        <w:tc>
          <w:tcPr/>
          <w:p>
            <w:pPr>
              <w:pStyle w:val="Compact"/>
              <w:jc w:val="left"/>
            </w:pPr>
            <w:r>
              <w:t xml:space="preserve">✓ Beat</w:t>
            </w:r>
          </w:p>
        </w:tc>
      </w:tr>
      <w:tr>
        <w:tc>
          <w:tcPr/>
          <w:p>
            <w:pPr>
              <w:pStyle w:val="Compact"/>
              <w:jc w:val="left"/>
            </w:pPr>
            <w:r>
              <w:t xml:space="preserve">Customer Retention Rate</w:t>
            </w:r>
          </w:p>
        </w:tc>
        <w:tc>
          <w:tcPr/>
          <w:p>
            <w:pPr>
              <w:pStyle w:val="Compact"/>
              <w:jc w:val="left"/>
            </w:pPr>
            <w:r>
              <w:t xml:space="preserve">82%</w:t>
            </w:r>
          </w:p>
        </w:tc>
        <w:tc>
          <w:tcPr/>
          <w:p>
            <w:pPr>
              <w:pStyle w:val="Compact"/>
              <w:jc w:val="left"/>
            </w:pPr>
            <w:r>
              <w:t xml:space="preserve">84.3%</w:t>
            </w:r>
          </w:p>
        </w:tc>
        <w:tc>
          <w:tcPr/>
          <w:p>
            <w:pPr>
              <w:pStyle w:val="Compact"/>
              <w:jc w:val="left"/>
            </w:pPr>
            <w:r>
              <w:t xml:space="preserve">79.8%</w:t>
            </w:r>
          </w:p>
        </w:tc>
        <w:tc>
          <w:tcPr/>
          <w:p>
            <w:pPr>
              <w:pStyle w:val="Compact"/>
              <w:jc w:val="left"/>
            </w:pPr>
            <w:r>
              <w:t xml:space="preserve">+4.5pp</w:t>
            </w:r>
          </w:p>
        </w:tc>
        <w:tc>
          <w:tcPr/>
          <w:p>
            <w:pPr>
              <w:pStyle w:val="Compact"/>
              <w:jc w:val="left"/>
            </w:pPr>
            <w:r>
              <w:t xml:space="preserve">✓ Beat</w:t>
            </w:r>
          </w:p>
        </w:tc>
      </w:tr>
      <w:tr>
        <w:tc>
          <w:tcPr/>
          <w:p>
            <w:pPr>
              <w:pStyle w:val="Compact"/>
              <w:jc w:val="left"/>
            </w:pPr>
            <w:r>
              <w:t xml:space="preserve">NPS (Net Promoter Score)</w:t>
            </w:r>
          </w:p>
        </w:tc>
        <w:tc>
          <w:tcPr/>
          <w:p>
            <w:pPr>
              <w:pStyle w:val="Compact"/>
              <w:jc w:val="left"/>
            </w:pPr>
            <w:r>
              <w:t xml:space="preserve">52</w:t>
            </w:r>
          </w:p>
        </w:tc>
        <w:tc>
          <w:tcPr/>
          <w:p>
            <w:pPr>
              <w:pStyle w:val="Compact"/>
              <w:jc w:val="left"/>
            </w:pPr>
            <w:r>
              <w:t xml:space="preserve">58</w:t>
            </w:r>
          </w:p>
        </w:tc>
        <w:tc>
          <w:tcPr/>
          <w:p>
            <w:pPr>
              <w:pStyle w:val="Compact"/>
              <w:jc w:val="left"/>
            </w:pPr>
            <w:r>
              <w:t xml:space="preserve">48</w:t>
            </w:r>
          </w:p>
        </w:tc>
        <w:tc>
          <w:tcPr/>
          <w:p>
            <w:pPr>
              <w:pStyle w:val="Compact"/>
              <w:jc w:val="left"/>
            </w:pPr>
            <w:r>
              <w:t xml:space="preserve">+10pp</w:t>
            </w:r>
          </w:p>
        </w:tc>
        <w:tc>
          <w:tcPr/>
          <w:p>
            <w:pPr>
              <w:pStyle w:val="Compact"/>
              <w:jc w:val="left"/>
            </w:pPr>
            <w:r>
              <w:t xml:space="preserve">✓ Beat</w:t>
            </w:r>
          </w:p>
        </w:tc>
      </w:tr>
    </w:tbl>
    <w:p>
      <w:pPr>
        <w:pStyle w:val="BodyText"/>
      </w:pPr>
      <w:r>
        <w:rPr>
          <w:b/>
          <w:bCs/>
        </w:rPr>
        <w:t xml:space="preserve">Performance Summary:</w:t>
      </w:r>
      <w:r>
        <w:t xml:space="preserve"> </w:t>
      </w:r>
      <w:r>
        <w:t xml:space="preserve">Beat all 12 major KPI targets for 2024; strongest performance in geographic expansion (100%), social media growth (375%), and ROI improvement (24.1%).</w:t>
      </w:r>
    </w:p>
    <w:p>
      <w:r>
        <w:pict>
          <v:rect style="width:0;height:1.5pt" o:hralign="center" o:hrstd="t" o:hr="t"/>
        </w:pict>
      </w:r>
    </w:p>
    <w:bookmarkEnd w:id="32"/>
    <w:bookmarkStart w:id="36" w:name="marketing-strategy-recommendations"/>
    <w:p>
      <w:pPr>
        <w:pStyle w:val="Heading2"/>
      </w:pPr>
      <w:r>
        <w:t xml:space="preserve">2025 Marketing Strategy &amp; Recommendations</w:t>
      </w:r>
    </w:p>
    <w:bookmarkStart w:id="33" w:name="strategic-priorities-for-2025"/>
    <w:p>
      <w:pPr>
        <w:pStyle w:val="Heading3"/>
      </w:pPr>
      <w:r>
        <w:t xml:space="preserve">Strategic Priorities for 2025</w:t>
      </w:r>
    </w:p>
    <w:p>
      <w:pPr>
        <w:pStyle w:val="FirstParagraph"/>
      </w:pPr>
      <w:r>
        <w:rPr>
          <w:b/>
          <w:bCs/>
        </w:rPr>
        <w:t xml:space="preserve">1. Scale B2B Enterprise Segment</w:t>
      </w:r>
      <w:r>
        <w:t xml:space="preserve"> </w:t>
      </w:r>
      <w:r>
        <w:t xml:space="preserve">(Budget: ₹200 Lakh)</w:t>
      </w:r>
      <w:r>
        <w:t xml:space="preserve"> </w:t>
      </w:r>
      <w:r>
        <w:t xml:space="preserve">- Q4 2024 demonstrated strong enterprise PMF: 32 customers closed, ₹38.5 Lakh revenue, 3.31x ROI</w:t>
      </w:r>
      <w:r>
        <w:t xml:space="preserve"> </w:t>
      </w:r>
      <w:r>
        <w:t xml:space="preserve">- 2025 Objectives: 50+ enterprise customers, ₹80+ Lakh revenue, dedicated enterprise marketing team</w:t>
      </w:r>
      <w:r>
        <w:t xml:space="preserve"> </w:t>
      </w:r>
      <w:r>
        <w:t xml:space="preserve">- Tactics: Account-based marketing (ABM) expansion to 150+ enterprise accounts; peer webinar series; industry conference presence</w:t>
      </w:r>
    </w:p>
    <w:p>
      <w:pPr>
        <w:pStyle w:val="BodyText"/>
      </w:pPr>
      <w:r>
        <w:rPr>
          <w:b/>
          <w:bCs/>
        </w:rPr>
        <w:t xml:space="preserve">2. Maximize Video Content Strategy</w:t>
      </w:r>
      <w:r>
        <w:t xml:space="preserve"> </w:t>
      </w:r>
      <w:r>
        <w:t xml:space="preserve">(Budget: ₹180 Lakh, +55% YoY)</w:t>
      </w:r>
      <w:r>
        <w:t xml:space="preserve"> </w:t>
      </w:r>
      <w:r>
        <w:t xml:space="preserve">- Video content delivered highest ROI in 2024: 4.21x average ROAS vs. 3.14x platform average</w:t>
      </w:r>
      <w:r>
        <w:t xml:space="preserve"> </w:t>
      </w:r>
      <w:r>
        <w:t xml:space="preserve">- TikTok explosive growth (258.6% followers YoY) demonstrates platform fit</w:t>
      </w:r>
      <w:r>
        <w:t xml:space="preserve"> </w:t>
      </w:r>
      <w:r>
        <w:t xml:space="preserve">- 2025 Objectives: 20M+ video views monthly; establish in-house video production team; 6-8 viral campaigns</w:t>
      </w:r>
      <w:r>
        <w:t xml:space="preserve"> </w:t>
      </w:r>
      <w:r>
        <w:t xml:space="preserve">- Tactics: Dedicated video production studio; creator partnerships (25-30 creators); short-form + long-form content</w:t>
      </w:r>
    </w:p>
    <w:p>
      <w:pPr>
        <w:pStyle w:val="BodyText"/>
      </w:pPr>
      <w:r>
        <w:rPr>
          <w:b/>
          <w:bCs/>
        </w:rPr>
        <w:t xml:space="preserve">3. Geographic Expansion - LATAM Acceleration</w:t>
      </w:r>
      <w:r>
        <w:t xml:space="preserve"> </w:t>
      </w:r>
      <w:r>
        <w:t xml:space="preserve">(Budget: ₹150 Lakh, +54% YoY)</w:t>
      </w:r>
      <w:r>
        <w:t xml:space="preserve"> </w:t>
      </w:r>
      <w:r>
        <w:t xml:space="preserve">- Latin America 2024 results: 100,300 customers, ₹88.8 Lakh revenue in 9 months</w:t>
      </w:r>
      <w:r>
        <w:t xml:space="preserve"> </w:t>
      </w:r>
      <w:r>
        <w:t xml:space="preserve">- 2025 Objectives: 250K+ customers in LATAM; expand to Chile, Peru, Argentina; hire regional directors</w:t>
      </w:r>
      <w:r>
        <w:t xml:space="preserve"> </w:t>
      </w:r>
      <w:r>
        <w:t xml:space="preserve">- Tactics: Localized content production; regional influencer partnerships; government B2B initiatives</w:t>
      </w:r>
    </w:p>
    <w:p>
      <w:pPr>
        <w:pStyle w:val="BodyText"/>
      </w:pPr>
      <w:r>
        <w:rPr>
          <w:b/>
          <w:bCs/>
        </w:rPr>
        <w:t xml:space="preserve">4. Southeast Asia Market Optimization</w:t>
      </w:r>
      <w:r>
        <w:t xml:space="preserve"> </w:t>
      </w:r>
      <w:r>
        <w:t xml:space="preserve">(Budget: ₹80 Lakh, +57% YoY)</w:t>
      </w:r>
      <w:r>
        <w:t xml:space="preserve"> </w:t>
      </w:r>
      <w:r>
        <w:t xml:space="preserve">- Thailand underperforming; Singapore/Malaysia mature but retention-focused</w:t>
      </w:r>
      <w:r>
        <w:t xml:space="preserve"> </w:t>
      </w:r>
      <w:r>
        <w:t xml:space="preserve">- 2025 Objectives: 30K+ new customers in Thailand through education campaigns; SME focus in Malaysia</w:t>
      </w:r>
      <w:r>
        <w:t xml:space="preserve"> </w:t>
      </w:r>
      <w:r>
        <w:t xml:space="preserve">- Tactics: Education content series; regional partnerships; mobile-first approach</w:t>
      </w:r>
    </w:p>
    <w:p>
      <w:pPr>
        <w:pStyle w:val="BodyText"/>
      </w:pPr>
      <w:r>
        <w:rPr>
          <w:b/>
          <w:bCs/>
        </w:rPr>
        <w:t xml:space="preserve">5. Loyalty Program Expansion &amp; AI Personalization</w:t>
      </w:r>
      <w:r>
        <w:t xml:space="preserve"> </w:t>
      </w:r>
      <w:r>
        <w:t xml:space="preserve">(Budget: ₹140 Lakh, +17% YoY)</w:t>
      </w:r>
      <w:r>
        <w:t xml:space="preserve"> </w:t>
      </w:r>
      <w:r>
        <w:t xml:space="preserve">- 2024 loyalty program: 62,500 enrollments (35.7% of new customers), 67.2% redemption rate</w:t>
      </w:r>
      <w:r>
        <w:t xml:space="preserve"> </w:t>
      </w:r>
      <w:r>
        <w:t xml:space="preserve">- 2025 Objectives: 150K+ enrollments; reduce churn from 9.7% to 7%; increase LTV:CAC ratio from 1:6.1 to 1:8</w:t>
      </w:r>
      <w:r>
        <w:t xml:space="preserve"> </w:t>
      </w:r>
      <w:r>
        <w:t xml:space="preserve">- Tactics: AI-driven personalization engine; tiered rewards expansion; gamification features</w:t>
      </w:r>
    </w:p>
    <w:p>
      <w:pPr>
        <w:pStyle w:val="BodyText"/>
      </w:pPr>
      <w:r>
        <w:rPr>
          <w:b/>
          <w:bCs/>
        </w:rPr>
        <w:t xml:space="preserve">6. Channel Mix Optimization - Kill Underperformers</w:t>
      </w:r>
      <w:r>
        <w:t xml:space="preserve"> </w:t>
      </w:r>
      <w:r>
        <w:t xml:space="preserve">- Events &amp; Sponsorships (0.73x ROI) and Partnerships (1.47x ROI) consistently underperform</w:t>
      </w:r>
      <w:r>
        <w:t xml:space="preserve"> </w:t>
      </w:r>
      <w:r>
        <w:t xml:space="preserve">- Reallocate ₹189 Lakh from low-ROI channels to: Digital Ads (+₹80L), Video Content (+₹55L), Email/Retention (+₹54L)</w:t>
      </w:r>
      <w:r>
        <w:t xml:space="preserve"> </w:t>
      </w:r>
      <w:r>
        <w:t xml:space="preserve">- Expected impact: +0.25x ROI improvement (3.14x → 3.39x average)</w:t>
      </w:r>
    </w:p>
    <w:bookmarkEnd w:id="33"/>
    <w:bookmarkStart w:id="34" w:name="Xa80ea19e0790e885602a9b7b30f08022a666f2b"/>
    <w:p>
      <w:pPr>
        <w:pStyle w:val="Heading3"/>
      </w:pPr>
      <w:r>
        <w:t xml:space="preserve">2025 Budget Allocation Proposal (Total: ₹1,650 Lakh, +24% YoY)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Channel</w:t>
            </w:r>
          </w:p>
        </w:tc>
        <w:tc>
          <w:tcPr/>
          <w:p>
            <w:pPr>
              <w:pStyle w:val="Compact"/>
              <w:jc w:val="left"/>
            </w:pPr>
            <w:r>
              <w:t xml:space="preserve">2024 Spend (₹L)</w:t>
            </w:r>
          </w:p>
        </w:tc>
        <w:tc>
          <w:tcPr/>
          <w:p>
            <w:pPr>
              <w:pStyle w:val="Compact"/>
              <w:jc w:val="left"/>
            </w:pPr>
            <w:r>
              <w:t xml:space="preserve">2025 Budget (₹L)</w:t>
            </w:r>
          </w:p>
        </w:tc>
        <w:tc>
          <w:tcPr/>
          <w:p>
            <w:pPr>
              <w:pStyle w:val="Compact"/>
              <w:jc w:val="left"/>
            </w:pPr>
            <w:r>
              <w:t xml:space="preserve">Growth</w:t>
            </w:r>
          </w:p>
        </w:tc>
        <w:tc>
          <w:tcPr/>
          <w:p>
            <w:pPr>
              <w:pStyle w:val="Compact"/>
              <w:jc w:val="left"/>
            </w:pPr>
            <w:r>
              <w:t xml:space="preserve">% of Total</w:t>
            </w:r>
          </w:p>
        </w:tc>
      </w:tr>
      <w:tr>
        <w:tc>
          <w:tcPr/>
          <w:p>
            <w:pPr>
              <w:pStyle w:val="Compact"/>
              <w:jc w:val="left"/>
            </w:pPr>
            <w:r>
              <w:t xml:space="preserve">Digital Advertising</w:t>
            </w:r>
          </w:p>
        </w:tc>
        <w:tc>
          <w:tcPr/>
          <w:p>
            <w:pPr>
              <w:pStyle w:val="Compact"/>
              <w:jc w:val="left"/>
            </w:pPr>
            <w:r>
              <w:t xml:space="preserve">476</w:t>
            </w:r>
          </w:p>
        </w:tc>
        <w:tc>
          <w:tcPr/>
          <w:p>
            <w:pPr>
              <w:pStyle w:val="Compact"/>
              <w:jc w:val="left"/>
            </w:pPr>
            <w:r>
              <w:t xml:space="preserve">556</w:t>
            </w:r>
          </w:p>
        </w:tc>
        <w:tc>
          <w:tcPr/>
          <w:p>
            <w:pPr>
              <w:pStyle w:val="Compact"/>
              <w:jc w:val="left"/>
            </w:pPr>
            <w:r>
              <w:t xml:space="preserve">+16.8%</w:t>
            </w:r>
          </w:p>
        </w:tc>
        <w:tc>
          <w:tcPr/>
          <w:p>
            <w:pPr>
              <w:pStyle w:val="Compact"/>
              <w:jc w:val="left"/>
            </w:pPr>
            <w:r>
              <w:t xml:space="preserve">33.7%</w:t>
            </w:r>
          </w:p>
        </w:tc>
      </w:tr>
      <w:tr>
        <w:tc>
          <w:tcPr/>
          <w:p>
            <w:pPr>
              <w:pStyle w:val="Compact"/>
              <w:jc w:val="left"/>
            </w:pPr>
            <w:r>
              <w:t xml:space="preserve">Video Content Production</w:t>
            </w:r>
          </w:p>
        </w:tc>
        <w:tc>
          <w:tcPr/>
          <w:p>
            <w:pPr>
              <w:pStyle w:val="Compact"/>
              <w:jc w:val="left"/>
            </w:pPr>
            <w:r>
              <w:t xml:space="preserve">116</w:t>
            </w:r>
          </w:p>
        </w:tc>
        <w:tc>
          <w:tcPr/>
          <w:p>
            <w:pPr>
              <w:pStyle w:val="Compact"/>
              <w:jc w:val="left"/>
            </w:pPr>
            <w:r>
              <w:t xml:space="preserve">180</w:t>
            </w:r>
          </w:p>
        </w:tc>
        <w:tc>
          <w:tcPr/>
          <w:p>
            <w:pPr>
              <w:pStyle w:val="Compact"/>
              <w:jc w:val="left"/>
            </w:pPr>
            <w:r>
              <w:t xml:space="preserve">+55.2%</w:t>
            </w:r>
          </w:p>
        </w:tc>
        <w:tc>
          <w:tcPr/>
          <w:p>
            <w:pPr>
              <w:pStyle w:val="Compact"/>
              <w:jc w:val="left"/>
            </w:pPr>
            <w:r>
              <w:t xml:space="preserve">10.9%</w:t>
            </w:r>
          </w:p>
        </w:tc>
      </w:tr>
      <w:tr>
        <w:tc>
          <w:tcPr/>
          <w:p>
            <w:pPr>
              <w:pStyle w:val="Compact"/>
              <w:jc w:val="left"/>
            </w:pPr>
            <w:r>
              <w:t xml:space="preserve">B2B Enterprise Marketing</w:t>
            </w:r>
          </w:p>
        </w:tc>
        <w:tc>
          <w:tcPr/>
          <w:p>
            <w:pPr>
              <w:pStyle w:val="Compact"/>
              <w:jc w:val="left"/>
            </w:pPr>
            <w:r>
              <w:t xml:space="preserve">106</w:t>
            </w:r>
          </w:p>
        </w:tc>
        <w:tc>
          <w:tcPr/>
          <w:p>
            <w:pPr>
              <w:pStyle w:val="Compact"/>
              <w:jc w:val="left"/>
            </w:pPr>
            <w:r>
              <w:t xml:space="preserve">200</w:t>
            </w:r>
          </w:p>
        </w:tc>
        <w:tc>
          <w:tcPr/>
          <w:p>
            <w:pPr>
              <w:pStyle w:val="Compact"/>
              <w:jc w:val="left"/>
            </w:pPr>
            <w:r>
              <w:t xml:space="preserve">+88.7%</w:t>
            </w:r>
          </w:p>
        </w:tc>
        <w:tc>
          <w:tcPr/>
          <w:p>
            <w:pPr>
              <w:pStyle w:val="Compact"/>
              <w:jc w:val="left"/>
            </w:pPr>
            <w:r>
              <w:t xml:space="preserve">12.1%</w:t>
            </w:r>
          </w:p>
        </w:tc>
      </w:tr>
      <w:tr>
        <w:tc>
          <w:tcPr/>
          <w:p>
            <w:pPr>
              <w:pStyle w:val="Compact"/>
              <w:jc w:val="left"/>
            </w:pPr>
            <w:r>
              <w:t xml:space="preserve">Email &amp; Retention / Loyalty</w:t>
            </w:r>
          </w:p>
        </w:tc>
        <w:tc>
          <w:tcPr/>
          <w:p>
            <w:pPr>
              <w:pStyle w:val="Compact"/>
              <w:jc w:val="left"/>
            </w:pPr>
            <w:r>
              <w:t xml:space="preserve">193</w:t>
            </w:r>
          </w:p>
        </w:tc>
        <w:tc>
          <w:tcPr/>
          <w:p>
            <w:pPr>
              <w:pStyle w:val="Compact"/>
              <w:jc w:val="left"/>
            </w:pPr>
            <w:r>
              <w:t xml:space="preserve">247</w:t>
            </w:r>
          </w:p>
        </w:tc>
        <w:tc>
          <w:tcPr/>
          <w:p>
            <w:pPr>
              <w:pStyle w:val="Compact"/>
              <w:jc w:val="left"/>
            </w:pPr>
            <w:r>
              <w:t xml:space="preserve">+28.0%</w:t>
            </w:r>
          </w:p>
        </w:tc>
        <w:tc>
          <w:tcPr/>
          <w:p>
            <w:pPr>
              <w:pStyle w:val="Compact"/>
              <w:jc w:val="left"/>
            </w:pPr>
            <w:r>
              <w:t xml:space="preserve">15.0%</w:t>
            </w:r>
          </w:p>
        </w:tc>
      </w:tr>
      <w:tr>
        <w:tc>
          <w:tcPr/>
          <w:p>
            <w:pPr>
              <w:pStyle w:val="Compact"/>
              <w:jc w:val="left"/>
            </w:pPr>
            <w:r>
              <w:t xml:space="preserve">Influencer Partnerships</w:t>
            </w:r>
          </w:p>
        </w:tc>
        <w:tc>
          <w:tcPr/>
          <w:p>
            <w:pPr>
              <w:pStyle w:val="Compact"/>
              <w:jc w:val="left"/>
            </w:pPr>
            <w:r>
              <w:t xml:space="preserve">140</w:t>
            </w:r>
          </w:p>
        </w:tc>
        <w:tc>
          <w:tcPr/>
          <w:p>
            <w:pPr>
              <w:pStyle w:val="Compact"/>
              <w:jc w:val="left"/>
            </w:pPr>
            <w:r>
              <w:t xml:space="preserve">160</w:t>
            </w:r>
          </w:p>
        </w:tc>
        <w:tc>
          <w:tcPr/>
          <w:p>
            <w:pPr>
              <w:pStyle w:val="Compact"/>
              <w:jc w:val="left"/>
            </w:pPr>
            <w:r>
              <w:t xml:space="preserve">+14.3%</w:t>
            </w:r>
          </w:p>
        </w:tc>
        <w:tc>
          <w:tcPr/>
          <w:p>
            <w:pPr>
              <w:pStyle w:val="Compact"/>
              <w:jc w:val="left"/>
            </w:pPr>
            <w:r>
              <w:t xml:space="preserve">9.7%</w:t>
            </w:r>
          </w:p>
        </w:tc>
      </w:tr>
      <w:tr>
        <w:tc>
          <w:tcPr/>
          <w:p>
            <w:pPr>
              <w:pStyle w:val="Compact"/>
              <w:jc w:val="left"/>
            </w:pPr>
            <w:r>
              <w:t xml:space="preserve">Content Marketing &amp; SEO</w:t>
            </w:r>
          </w:p>
        </w:tc>
        <w:tc>
          <w:tcPr/>
          <w:p>
            <w:pPr>
              <w:pStyle w:val="Compact"/>
              <w:jc w:val="left"/>
            </w:pPr>
            <w:r>
              <w:t xml:space="preserve">98</w:t>
            </w:r>
          </w:p>
        </w:tc>
        <w:tc>
          <w:tcPr/>
          <w:p>
            <w:pPr>
              <w:pStyle w:val="Compact"/>
              <w:jc w:val="left"/>
            </w:pPr>
            <w:r>
              <w:t xml:space="preserve">120</w:t>
            </w:r>
          </w:p>
        </w:tc>
        <w:tc>
          <w:tcPr/>
          <w:p>
            <w:pPr>
              <w:pStyle w:val="Compact"/>
              <w:jc w:val="left"/>
            </w:pPr>
            <w:r>
              <w:t xml:space="preserve">+22.4%</w:t>
            </w:r>
          </w:p>
        </w:tc>
        <w:tc>
          <w:tcPr/>
          <w:p>
            <w:pPr>
              <w:pStyle w:val="Compact"/>
              <w:jc w:val="left"/>
            </w:pPr>
            <w:r>
              <w:t xml:space="preserve">7.3%</w:t>
            </w:r>
          </w:p>
        </w:tc>
      </w:tr>
      <w:tr>
        <w:tc>
          <w:tcPr/>
          <w:p>
            <w:pPr>
              <w:pStyle w:val="Compact"/>
              <w:jc w:val="left"/>
            </w:pPr>
            <w:r>
              <w:t xml:space="preserve">Paid Search</w:t>
            </w:r>
          </w:p>
        </w:tc>
        <w:tc>
          <w:tcPr/>
          <w:p>
            <w:pPr>
              <w:pStyle w:val="Compact"/>
              <w:jc w:val="left"/>
            </w:pPr>
            <w:r>
              <w:t xml:space="preserve">125</w:t>
            </w:r>
          </w:p>
        </w:tc>
        <w:tc>
          <w:tcPr/>
          <w:p>
            <w:pPr>
              <w:pStyle w:val="Compact"/>
              <w:jc w:val="left"/>
            </w:pPr>
            <w:r>
              <w:t xml:space="preserve">150</w:t>
            </w:r>
          </w:p>
        </w:tc>
        <w:tc>
          <w:tcPr/>
          <w:p>
            <w:pPr>
              <w:pStyle w:val="Compact"/>
              <w:jc w:val="left"/>
            </w:pPr>
            <w:r>
              <w:t xml:space="preserve">+20.0%</w:t>
            </w:r>
          </w:p>
        </w:tc>
        <w:tc>
          <w:tcPr/>
          <w:p>
            <w:pPr>
              <w:pStyle w:val="Compact"/>
              <w:jc w:val="left"/>
            </w:pPr>
            <w:r>
              <w:t xml:space="preserve">9.1%</w:t>
            </w:r>
          </w:p>
        </w:tc>
      </w:tr>
      <w:tr>
        <w:tc>
          <w:tcPr/>
          <w:p>
            <w:pPr>
              <w:pStyle w:val="Compact"/>
              <w:jc w:val="left"/>
            </w:pPr>
            <w:r>
              <w:t xml:space="preserve">SMS &amp; Push Notifications</w:t>
            </w:r>
          </w:p>
        </w:tc>
        <w:tc>
          <w:tcPr/>
          <w:p>
            <w:pPr>
              <w:pStyle w:val="Compact"/>
              <w:jc w:val="left"/>
            </w:pPr>
            <w:r>
              <w:t xml:space="preserve">38</w:t>
            </w:r>
          </w:p>
        </w:tc>
        <w:tc>
          <w:tcPr/>
          <w:p>
            <w:pPr>
              <w:pStyle w:val="Compact"/>
              <w:jc w:val="left"/>
            </w:pPr>
            <w:r>
              <w:t xml:space="preserve">65</w:t>
            </w:r>
          </w:p>
        </w:tc>
        <w:tc>
          <w:tcPr/>
          <w:p>
            <w:pPr>
              <w:pStyle w:val="Compact"/>
              <w:jc w:val="left"/>
            </w:pPr>
            <w:r>
              <w:t xml:space="preserve">+71.1%</w:t>
            </w:r>
          </w:p>
        </w:tc>
        <w:tc>
          <w:tcPr/>
          <w:p>
            <w:pPr>
              <w:pStyle w:val="Compact"/>
              <w:jc w:val="left"/>
            </w:pPr>
            <w:r>
              <w:t xml:space="preserve">3.9%</w:t>
            </w:r>
          </w:p>
        </w:tc>
      </w:tr>
      <w:tr>
        <w:tc>
          <w:tcPr/>
          <w:p>
            <w:pPr>
              <w:pStyle w:val="Compact"/>
              <w:jc w:val="left"/>
            </w:pPr>
            <w:r>
              <w:t xml:space="preserve">Marketing Automation &amp; AI</w:t>
            </w:r>
          </w:p>
        </w:tc>
        <w:tc>
          <w:tcPr/>
          <w:p>
            <w:pPr>
              <w:pStyle w:val="Compact"/>
              <w:jc w:val="left"/>
            </w:pPr>
            <w:r>
              <w:t xml:space="preserve">15</w:t>
            </w:r>
          </w:p>
        </w:tc>
        <w:tc>
          <w:tcPr/>
          <w:p>
            <w:pPr>
              <w:pStyle w:val="Compact"/>
              <w:jc w:val="left"/>
            </w:pPr>
            <w:r>
              <w:t xml:space="preserve">45</w:t>
            </w:r>
          </w:p>
        </w:tc>
        <w:tc>
          <w:tcPr/>
          <w:p>
            <w:pPr>
              <w:pStyle w:val="Compact"/>
              <w:jc w:val="left"/>
            </w:pPr>
            <w:r>
              <w:t xml:space="preserve">+200%</w:t>
            </w:r>
          </w:p>
        </w:tc>
        <w:tc>
          <w:tcPr/>
          <w:p>
            <w:pPr>
              <w:pStyle w:val="Compact"/>
              <w:jc w:val="left"/>
            </w:pPr>
            <w:r>
              <w:t xml:space="preserve">2.7%</w:t>
            </w:r>
          </w:p>
        </w:tc>
      </w:tr>
      <w:tr>
        <w:tc>
          <w:tcPr/>
          <w:p>
            <w:pPr>
              <w:pStyle w:val="Compact"/>
              <w:jc w:val="left"/>
            </w:pPr>
            <w:r>
              <w:t xml:space="preserve">Events &amp; Sponsorships</w:t>
            </w:r>
          </w:p>
        </w:tc>
        <w:tc>
          <w:tcPr/>
          <w:p>
            <w:pPr>
              <w:pStyle w:val="Compact"/>
              <w:jc w:val="left"/>
            </w:pPr>
            <w:r>
              <w:t xml:space="preserve">131</w:t>
            </w:r>
          </w:p>
        </w:tc>
        <w:tc>
          <w:tcPr/>
          <w:p>
            <w:pPr>
              <w:pStyle w:val="Compact"/>
              <w:jc w:val="left"/>
            </w:pPr>
            <w:r>
              <w:t xml:space="preserve">20</w:t>
            </w:r>
          </w:p>
        </w:tc>
        <w:tc>
          <w:tcPr/>
          <w:p>
            <w:pPr>
              <w:pStyle w:val="Compact"/>
              <w:jc w:val="left"/>
            </w:pPr>
            <w:r>
              <w:t xml:space="preserve">-84.7%</w:t>
            </w:r>
          </w:p>
        </w:tc>
        <w:tc>
          <w:tcPr/>
          <w:p>
            <w:pPr>
              <w:pStyle w:val="Compact"/>
              <w:jc w:val="left"/>
            </w:pPr>
            <w:r>
              <w:t xml:space="preserve">1.2%</w:t>
            </w:r>
          </w:p>
        </w:tc>
      </w:tr>
      <w:tr>
        <w:tc>
          <w:tcPr/>
          <w:p>
            <w:pPr>
              <w:pStyle w:val="Compact"/>
              <w:jc w:val="left"/>
            </w:pPr>
            <w:r>
              <w:t xml:space="preserve">Partnerships &amp; Co-marketing</w:t>
            </w:r>
          </w:p>
        </w:tc>
        <w:tc>
          <w:tcPr/>
          <w:p>
            <w:pPr>
              <w:pStyle w:val="Compact"/>
              <w:jc w:val="left"/>
            </w:pPr>
            <w:r>
              <w:t xml:space="preserve">58</w:t>
            </w:r>
          </w:p>
        </w:tc>
        <w:tc>
          <w:tcPr/>
          <w:p>
            <w:pPr>
              <w:pStyle w:val="Compact"/>
              <w:jc w:val="left"/>
            </w:pPr>
            <w:r>
              <w:t xml:space="preserve">10</w:t>
            </w:r>
          </w:p>
        </w:tc>
        <w:tc>
          <w:tcPr/>
          <w:p>
            <w:pPr>
              <w:pStyle w:val="Compact"/>
              <w:jc w:val="left"/>
            </w:pPr>
            <w:r>
              <w:t xml:space="preserve">-82.8%</w:t>
            </w:r>
          </w:p>
        </w:tc>
        <w:tc>
          <w:tcPr/>
          <w:p>
            <w:pPr>
              <w:pStyle w:val="Compact"/>
              <w:jc w:val="left"/>
            </w:pPr>
            <w:r>
              <w:t xml:space="preserve">0.6%</w:t>
            </w:r>
          </w:p>
        </w:tc>
      </w:tr>
      <w:tr>
        <w:tc>
          <w:tcPr/>
          <w:p>
            <w:pPr>
              <w:pStyle w:val="Compact"/>
              <w:jc w:val="left"/>
            </w:pPr>
            <w:r>
              <w:t xml:space="preserve">Analytics &amp; Tools</w:t>
            </w:r>
          </w:p>
        </w:tc>
        <w:tc>
          <w:tcPr/>
          <w:p>
            <w:pPr>
              <w:pStyle w:val="Compact"/>
              <w:jc w:val="left"/>
            </w:pPr>
            <w:r>
              <w:t xml:space="preserve">30</w:t>
            </w:r>
          </w:p>
        </w:tc>
        <w:tc>
          <w:tcPr/>
          <w:p>
            <w:pPr>
              <w:pStyle w:val="Compact"/>
              <w:jc w:val="left"/>
            </w:pPr>
            <w:r>
              <w:t xml:space="preserve">40</w:t>
            </w:r>
          </w:p>
        </w:tc>
        <w:tc>
          <w:tcPr/>
          <w:p>
            <w:pPr>
              <w:pStyle w:val="Compact"/>
              <w:jc w:val="left"/>
            </w:pPr>
            <w:r>
              <w:t xml:space="preserve">+33.3%</w:t>
            </w:r>
          </w:p>
        </w:tc>
        <w:tc>
          <w:tcPr/>
          <w:p>
            <w:pPr>
              <w:pStyle w:val="Compact"/>
              <w:jc w:val="left"/>
            </w:pPr>
            <w:r>
              <w:t xml:space="preserve">2.4%</w:t>
            </w:r>
          </w:p>
        </w:tc>
      </w:tr>
      <w:tr>
        <w:tc>
          <w:tcPr/>
          <w:p>
            <w:pPr>
              <w:pStyle w:val="Compact"/>
              <w:jc w:val="left"/>
            </w:pPr>
            <w:r>
              <w:t xml:space="preserve">Contingency</w:t>
            </w:r>
          </w:p>
        </w:tc>
        <w:tc>
          <w:tcPr/>
          <w:p>
            <w:pPr>
              <w:pStyle w:val="Compact"/>
              <w:jc w:val="left"/>
            </w:pPr>
            <w:r>
              <w:t xml:space="preserve">4</w:t>
            </w:r>
          </w:p>
        </w:tc>
        <w:tc>
          <w:tcPr/>
          <w:p>
            <w:pPr>
              <w:pStyle w:val="Compact"/>
              <w:jc w:val="left"/>
            </w:pPr>
            <w:r>
              <w:t xml:space="preserve">-37</w:t>
            </w:r>
          </w:p>
        </w:tc>
        <w:tc>
          <w:tcPr/>
          <w:p>
            <w:pPr>
              <w:pStyle w:val="Compact"/>
              <w:jc w:val="left"/>
            </w:pPr>
            <w:r>
              <w:t xml:space="preserve">-</w:t>
            </w:r>
          </w:p>
        </w:tc>
        <w:tc>
          <w:tcPr/>
          <w:p>
            <w:pPr>
              <w:pStyle w:val="Compact"/>
              <w:jc w:val="left"/>
            </w:pPr>
            <w:r>
              <w:t xml:space="preserve">-2.2%</w:t>
            </w:r>
          </w:p>
        </w:tc>
      </w:tr>
      <w:tr>
        <w:tc>
          <w:tcPr/>
          <w:p>
            <w:pPr>
              <w:pStyle w:val="Compact"/>
              <w:jc w:val="left"/>
            </w:pPr>
            <w:r>
              <w:rPr>
                <w:b/>
                <w:bCs/>
              </w:rPr>
              <w:t xml:space="preserve">TOTAL</w:t>
            </w:r>
          </w:p>
        </w:tc>
        <w:tc>
          <w:tcPr/>
          <w:p>
            <w:pPr>
              <w:pStyle w:val="Compact"/>
              <w:jc w:val="left"/>
            </w:pPr>
            <w:r>
              <w:rPr>
                <w:b/>
                <w:bCs/>
              </w:rPr>
              <w:t xml:space="preserve">1,330</w:t>
            </w:r>
          </w:p>
        </w:tc>
        <w:tc>
          <w:tcPr/>
          <w:p>
            <w:pPr>
              <w:pStyle w:val="Compact"/>
              <w:jc w:val="left"/>
            </w:pPr>
            <w:r>
              <w:rPr>
                <w:b/>
                <w:bCs/>
              </w:rPr>
              <w:t xml:space="preserve">1,650</w:t>
            </w:r>
          </w:p>
        </w:tc>
        <w:tc>
          <w:tcPr/>
          <w:p>
            <w:pPr>
              <w:pStyle w:val="Compact"/>
              <w:jc w:val="left"/>
            </w:pPr>
            <w:r>
              <w:rPr>
                <w:b/>
                <w:bCs/>
              </w:rPr>
              <w:t xml:space="preserve">+24.1%</w:t>
            </w:r>
          </w:p>
        </w:tc>
        <w:tc>
          <w:tcPr/>
          <w:p>
            <w:pPr>
              <w:pStyle w:val="Compact"/>
              <w:jc w:val="left"/>
            </w:pPr>
            <w:r>
              <w:rPr>
                <w:b/>
                <w:bCs/>
              </w:rPr>
              <w:t xml:space="preserve">100%</w:t>
            </w:r>
          </w:p>
        </w:tc>
      </w:tr>
    </w:tbl>
    <w:bookmarkEnd w:id="34"/>
    <w:bookmarkStart w:id="35" w:name="expected-2025-outcomes"/>
    <w:p>
      <w:pPr>
        <w:pStyle w:val="Heading3"/>
      </w:pPr>
      <w:r>
        <w:t xml:space="preserve">Expected 2025 Outcomes</w:t>
      </w:r>
    </w:p>
    <w:p>
      <w:pPr>
        <w:pStyle w:val="FirstParagraph"/>
      </w:pPr>
      <w:r>
        <w:rPr>
          <w:b/>
          <w:bCs/>
        </w:rPr>
        <w:t xml:space="preserve">Revenue &amp; Acquisition Targets:</w:t>
      </w:r>
      <w:r>
        <w:t xml:space="preserve"> </w:t>
      </w:r>
      <w:r>
        <w:t xml:space="preserve">- New Customer Acquisitions: 850K+ (24% YoY growth)</w:t>
      </w:r>
      <w:r>
        <w:t xml:space="preserve"> </w:t>
      </w:r>
      <w:r>
        <w:t xml:space="preserve">- Marketing-Attributed Revenue: ₹450L+ (26.8% YoY growth)</w:t>
      </w:r>
      <w:r>
        <w:t xml:space="preserve"> </w:t>
      </w:r>
      <w:r>
        <w:t xml:space="preserve">- Enterprise Revenue Contribution: ₹120L+ (34.3% of total)</w:t>
      </w:r>
      <w:r>
        <w:t xml:space="preserve"> </w:t>
      </w:r>
      <w:r>
        <w:t xml:space="preserve">- Geographic Markets: 12 (adding Chile, Peru, Argentina)</w:t>
      </w:r>
    </w:p>
    <w:p>
      <w:pPr>
        <w:pStyle w:val="BodyText"/>
      </w:pPr>
      <w:r>
        <w:rPr>
          <w:b/>
          <w:bCs/>
        </w:rPr>
        <w:t xml:space="preserve">Efficiency &amp; ROI Targets:</w:t>
      </w:r>
      <w:r>
        <w:t xml:space="preserve"> </w:t>
      </w:r>
      <w:r>
        <w:t xml:space="preserve">- Average ROI: 3.39x (8% improvement over 2024)</w:t>
      </w:r>
      <w:r>
        <w:t xml:space="preserve"> </w:t>
      </w:r>
      <w:r>
        <w:t xml:space="preserve">- CAC: ₹1,700 (6.2% improvement)</w:t>
      </w:r>
      <w:r>
        <w:t xml:space="preserve"> </w:t>
      </w:r>
      <w:r>
        <w:t xml:space="preserve">- LTV:CAC Ratio: 1:8 (improvement from 1:6.1)</w:t>
      </w:r>
      <w:r>
        <w:t xml:space="preserve"> </w:t>
      </w:r>
      <w:r>
        <w:t xml:space="preserve">- Email Open Rate: 28% (+1.6pp)</w:t>
      </w:r>
      <w:r>
        <w:t xml:space="preserve"> </w:t>
      </w:r>
      <w:r>
        <w:t xml:space="preserve">- Video Content ROI: 4.5x (+7% over 2024)</w:t>
      </w:r>
    </w:p>
    <w:p>
      <w:r>
        <w:pict>
          <v:rect style="width:0;height:1.5pt" o:hralign="center" o:hrstd="t" o:hr="t"/>
        </w:pict>
      </w:r>
    </w:p>
    <w:bookmarkEnd w:id="35"/>
    <w:bookmarkEnd w:id="36"/>
    <w:bookmarkStart w:id="37" w:name="data-quality-methodology-notes"/>
    <w:p>
      <w:pPr>
        <w:pStyle w:val="Heading2"/>
      </w:pPr>
      <w:r>
        <w:t xml:space="preserve">Data Quality &amp; Methodology Notes</w:t>
      </w:r>
    </w:p>
    <w:p>
      <w:pPr>
        <w:pStyle w:val="FirstParagraph"/>
      </w:pPr>
      <w:r>
        <w:rPr>
          <w:b/>
          <w:bCs/>
        </w:rPr>
        <w:t xml:space="preserve">Data Sources &amp; Verification:</w:t>
      </w:r>
      <w:r>
        <w:t xml:space="preserve"> </w:t>
      </w:r>
      <w:r>
        <w:t xml:space="preserve">- Customer acquisition data: Verified against HubSpot CRM, Salesforce, and proprietary user database</w:t>
      </w:r>
      <w:r>
        <w:t xml:space="preserve"> </w:t>
      </w:r>
      <w:r>
        <w:t xml:space="preserve">- Revenue figures: Marketing-attributed revenue using multi-touch attribution model (40% first-touch, 30% last-click, 30% distributed)</w:t>
      </w:r>
      <w:r>
        <w:t xml:space="preserve"> </w:t>
      </w:r>
      <w:r>
        <w:t xml:space="preserve">- Social media metrics: Pulled from platform-native analytics (Meta Business Suite, LinkedIn Campaign Manager, TikTok Creator Suite, YouTube Analytics)</w:t>
      </w:r>
      <w:r>
        <w:t xml:space="preserve"> </w:t>
      </w:r>
      <w:r>
        <w:t xml:space="preserve">- Geographic data: IP geolocation + user-declared location in profile</w:t>
      </w:r>
      <w:r>
        <w:t xml:space="preserve"> </w:t>
      </w:r>
      <w:r>
        <w:t xml:space="preserve">- B2B metrics: Tracked via Salesforce opportunity pipeline</w:t>
      </w:r>
      <w:r>
        <w:t xml:space="preserve"> </w:t>
      </w:r>
      <w:r>
        <w:t xml:space="preserve">- Channel attribution: UTM parameters + CRM integration; 95% tracking coverage</w:t>
      </w:r>
    </w:p>
    <w:p>
      <w:pPr>
        <w:pStyle w:val="BodyText"/>
      </w:pPr>
      <w:r>
        <w:rPr>
          <w:b/>
          <w:bCs/>
        </w:rPr>
        <w:t xml:space="preserve">Currency &amp; FX Notes:</w:t>
      </w:r>
      <w:r>
        <w:t xml:space="preserve"> </w:t>
      </w:r>
      <w:r>
        <w:t xml:space="preserve">- All figures in INR (Indian Rupees)</w:t>
      </w:r>
      <w:r>
        <w:t xml:space="preserve"> </w:t>
      </w:r>
      <w:r>
        <w:t xml:space="preserve">- 2024 average exchange rate applied for international market reporting</w:t>
      </w:r>
      <w:r>
        <w:t xml:space="preserve"> </w:t>
      </w:r>
      <w:r>
        <w:t xml:space="preserve">- Revenue figures reported in ₹ Lakh (₹ 100,000 = 1 Lakh)</w:t>
      </w:r>
    </w:p>
    <w:p>
      <w:pPr>
        <w:pStyle w:val="BodyText"/>
      </w:pPr>
      <w:r>
        <w:rPr>
          <w:b/>
          <w:bCs/>
        </w:rPr>
        <w:t xml:space="preserve">Reporting Standards:</w:t>
      </w:r>
      <w:r>
        <w:t xml:space="preserve"> </w:t>
      </w:r>
      <w:r>
        <w:t xml:space="preserve">- ROI calculated as: (Revenue - Marketing Spend) / Marketing Spend</w:t>
      </w:r>
      <w:r>
        <w:t xml:space="preserve"> </w:t>
      </w:r>
      <w:r>
        <w:t xml:space="preserve">- CAC calculated as: Total Marketing Spend / New Customers Acquired</w:t>
      </w:r>
      <w:r>
        <w:t xml:space="preserve"> </w:t>
      </w:r>
      <w:r>
        <w:t xml:space="preserve">- LTV estimated as: (Average Revenue per Customer) × (Customer Lifetime in Years)</w:t>
      </w:r>
      <w:r>
        <w:t xml:space="preserve"> </w:t>
      </w:r>
      <w:r>
        <w:t xml:space="preserve">- Conversion rates: (Conversions / Total Traffic) × 100</w:t>
      </w:r>
      <w:r>
        <w:t xml:space="preserve"> </w:t>
      </w:r>
      <w:r>
        <w:t xml:space="preserve">- Engagement rate: (Likes + Comments + Shares) / Total Followers × 100</w:t>
      </w:r>
    </w:p>
    <w:p>
      <w:r>
        <w:pict>
          <v:rect style="width:0;height:1.5pt" o:hralign="center" o:hrstd="t" o:hr="t"/>
        </w:pict>
      </w:r>
    </w:p>
    <w:bookmarkEnd w:id="37"/>
    <w:bookmarkStart w:id="38" w:name="conclusion"/>
    <w:p>
      <w:pPr>
        <w:pStyle w:val="Heading2"/>
      </w:pPr>
      <w:r>
        <w:t xml:space="preserve">Conclusion</w:t>
      </w:r>
    </w:p>
    <w:p>
      <w:pPr>
        <w:pStyle w:val="FirstParagraph"/>
      </w:pPr>
      <w:r>
        <w:t xml:space="preserve">2024 represented a transformational year for FinSolve Technologies marketing, marked by successful geographic expansion, exceptional campaign performance, and significant operational efficiency improvements. The marketing department acquired 685,100 new customers (19.9% YoY growth), generated ₹355 Lakh in revenue (24.6% YoY growth), and improved ROI by 24.1% year-over-year to 3.14x despite expanding into 5 new geographic markets.</w:t>
      </w:r>
    </w:p>
    <w:p>
      <w:pPr>
        <w:pStyle w:val="BodyText"/>
      </w:pPr>
      <w:r>
        <w:rPr>
          <w:b/>
          <w:bCs/>
        </w:rPr>
        <w:t xml:space="preserve">Key Achievements:</w:t>
      </w:r>
      <w:r>
        <w:t xml:space="preserve"> </w:t>
      </w:r>
      <w:r>
        <w:t xml:space="preserve">✓ Doubled geographic footprint (5 → 10 markets)</w:t>
      </w:r>
      <w:r>
        <w:t xml:space="preserve"> </w:t>
      </w:r>
      <w:r>
        <w:t xml:space="preserve">✓ Improved marketing efficiency: CAC down 8.1% despite expansion</w:t>
      </w:r>
      <w:r>
        <w:t xml:space="preserve"> </w:t>
      </w:r>
      <w:r>
        <w:t xml:space="preserve">✓ Video content emerged as highest-ROI channel (4.21x ROAS)</w:t>
      </w:r>
      <w:r>
        <w:t xml:space="preserve"> </w:t>
      </w:r>
      <w:r>
        <w:t xml:space="preserve">✓ B2B enterprise segment validated (₹87.2L revenue, 42 customers closed, 285 in pipeline)</w:t>
      </w:r>
      <w:r>
        <w:t xml:space="preserve"> </w:t>
      </w:r>
      <w:r>
        <w:t xml:space="preserve">✓ Social media audience grew 375% (385K → 1.83M followers)</w:t>
      </w:r>
      <w:r>
        <w:t xml:space="preserve"> </w:t>
      </w:r>
      <w:r>
        <w:t xml:space="preserve">✓ Brand awareness increased 72.7% (22% → 38%)</w:t>
      </w:r>
      <w:r>
        <w:t xml:space="preserve"> </w:t>
      </w:r>
      <w:r>
        <w:t xml:space="preserve">✓ Beat all 12 major KPI targets</w:t>
      </w:r>
    </w:p>
    <w:p>
      <w:pPr>
        <w:pStyle w:val="BodyText"/>
      </w:pPr>
      <w:r>
        <w:rPr>
          <w:b/>
          <w:bCs/>
        </w:rPr>
        <w:t xml:space="preserve">Strategic Evolution:</w:t>
      </w:r>
      <w:r>
        <w:t xml:space="preserve"> </w:t>
      </w:r>
      <w:r>
        <w:t xml:space="preserve">- Q1: European market entry &amp; product launch (InstantPay)</w:t>
      </w:r>
      <w:r>
        <w:t xml:space="preserve"> </w:t>
      </w:r>
      <w:r>
        <w:t xml:space="preserve">- Q2: Southeast Asia expansion &amp; B2B enterprise focus</w:t>
      </w:r>
      <w:r>
        <w:t xml:space="preserve"> </w:t>
      </w:r>
      <w:r>
        <w:t xml:space="preserve">- Q3: Customer retention &amp; loyalty program launch, Latin America entry</w:t>
      </w:r>
      <w:r>
        <w:t xml:space="preserve"> </w:t>
      </w:r>
      <w:r>
        <w:t xml:space="preserve">- Q4: Holiday season mega-push, enterprise acceleration, year-end promotions</w:t>
      </w:r>
    </w:p>
    <w:p>
      <w:pPr>
        <w:pStyle w:val="BodyText"/>
      </w:pPr>
      <w:r>
        <w:rPr>
          <w:b/>
          <w:bCs/>
        </w:rPr>
        <w:t xml:space="preserve">2025 Outlook:</w:t>
      </w:r>
      <w:r>
        <w:t xml:space="preserve"> </w:t>
      </w:r>
      <w:r>
        <w:t xml:space="preserve">With proposed ₹1,650 Lakh marketing budget (+24% YoY), FinSolve Technologies is positioned to achieve 850K+ new customers, ₹450L+ revenue, and 3.39x average ROI in 2025. Strategic focus on B2B enterprise scaling (+88.7% budget), video content maximization (+55.2% budget), and LATAM acceleration (+54% budget) should drive continued 20%+ YoY growth trajectory.</w:t>
      </w:r>
    </w:p>
    <w:p>
      <w:r>
        <w:pict>
          <v:rect style="width:0;height:1.5pt" o:hralign="center" o:hrstd="t" o:hr="t"/>
        </w:pict>
      </w:r>
    </w:p>
    <w:p>
      <w:pPr>
        <w:pStyle w:val="FirstParagraph"/>
      </w:pPr>
      <w:r>
        <w:rPr>
          <w:b/>
          <w:bCs/>
        </w:rPr>
        <w:t xml:space="preserve">Prepared By:</w:t>
      </w:r>
      <w:r>
        <w:t xml:space="preserve"> </w:t>
      </w:r>
      <w:r>
        <w:t xml:space="preserve">FinSolve Technologies Marketing Department</w:t>
      </w:r>
      <w:r>
        <w:t xml:space="preserve"> </w:t>
      </w:r>
      <w:r>
        <w:rPr>
          <w:b/>
          <w:bCs/>
        </w:rPr>
        <w:t xml:space="preserve">Report Date:</w:t>
      </w:r>
      <w:r>
        <w:t xml:space="preserve"> </w:t>
      </w:r>
      <w:r>
        <w:t xml:space="preserve">January 2025</w:t>
      </w:r>
      <w:r>
        <w:t xml:space="preserve"> </w:t>
      </w:r>
      <w:r>
        <w:rPr>
          <w:b/>
          <w:bCs/>
        </w:rPr>
        <w:t xml:space="preserve">Fiscal Period:</w:t>
      </w:r>
      <w:r>
        <w:t xml:space="preserve"> </w:t>
      </w:r>
      <w:r>
        <w:t xml:space="preserve">January 1 - December 31, 2024</w:t>
      </w:r>
    </w:p>
    <w:p>
      <w:pPr>
        <w:pStyle w:val="BodyText"/>
      </w:pPr>
      <w:r>
        <w:rPr>
          <w:i/>
          <w:iCs/>
        </w:rPr>
        <w:t xml:space="preserve">This report has been verified against Finance department records for budget reconciliation and submitted for executive review.</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2026-03-24T06:46:45Z</dcterms:created>
  <dcterms:modified xsi:type="dcterms:W3CDTF">2026-03-24T06:46:45Z</dcterms:modified>
</cp:coreProperties>
</file>

<file path=docProps/custom.xml><?xml version="1.0" encoding="utf-8"?>
<Properties xmlns="http://schemas.openxmlformats.org/officeDocument/2006/custom-properties" xmlns:vt="http://schemas.openxmlformats.org/officeDocument/2006/docPropsVTypes"/>
</file>