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rketing-report---q1-2024"/>
    <w:p>
      <w:pPr>
        <w:pStyle w:val="Heading1"/>
      </w:pPr>
      <w:r>
        <w:t xml:space="preserve">Marketing Report - Q1 2024</w:t>
      </w:r>
    </w:p>
    <w:bookmarkStart w:id="20" w:name="finsolve-technologies"/>
    <w:p>
      <w:pPr>
        <w:pStyle w:val="Heading2"/>
      </w:pPr>
      <w:r>
        <w:t xml:space="preserve">FinSolve Technologies</w:t>
      </w:r>
    </w:p>
    <w:p>
      <w:pPr>
        <w:pStyle w:val="FirstParagraph"/>
      </w:pPr>
      <w:r>
        <w:rPr>
          <w:b/>
          <w:bCs/>
        </w:rPr>
        <w:t xml:space="preserve">Reporting Period:</w:t>
      </w:r>
      <w:r>
        <w:t xml:space="preserve"> </w:t>
      </w:r>
      <w:r>
        <w:t xml:space="preserve">January 1 - March 31, 2024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INR (Indian Rupees)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FinSolve Technologies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Q1 2024 marked a transformational quarter for FinSolve Technologies as we expanded our European footprint and launched the InstantPay feature. With a marketing budget of ₹25 Crore, we executed targeted campaigns across digital and traditional channels, acquiring 148,500 new customers and generating ₹68.5 Lakh in marketing-attributed revenue.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Total Marketing Spend: ₹25 Crore</w:t>
      </w:r>
      <w:r>
        <w:t xml:space="preserve"> </w:t>
      </w:r>
      <w:r>
        <w:t xml:space="preserve">- New Customer Acquisitions: 148,500</w:t>
      </w:r>
      <w:r>
        <w:t xml:space="preserve"> </w:t>
      </w:r>
      <w:r>
        <w:t xml:space="preserve">- Marketing-Attributed Revenue: ₹68.5 Lakh</w:t>
      </w:r>
      <w:r>
        <w:t xml:space="preserve"> </w:t>
      </w:r>
      <w:r>
        <w:t xml:space="preserve">- Average ROI: 3.08x</w:t>
      </w:r>
      <w:r>
        <w:t xml:space="preserve"> </w:t>
      </w:r>
      <w:r>
        <w:t xml:space="preserve">- Customer Acquisition Cost (CAC): ₹1,681 per customer</w:t>
      </w:r>
    </w:p>
    <w:p>
      <w:r>
        <w:pict>
          <v:rect style="width:0;height:1.5pt" o:hralign="center" o:hrstd="t" o:hr="t"/>
        </w:pict>
      </w:r>
    </w:p>
    <w:bookmarkEnd w:id="21"/>
    <w:bookmarkStart w:id="22" w:name="campaign-performance-summary"/>
    <w:p>
      <w:pPr>
        <w:pStyle w:val="Heading2"/>
      </w:pPr>
      <w:r>
        <w:t xml:space="preserve">Campaign Performance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Campaign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Market Entry -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Market Entry - 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Market Entry -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InstantPay Launch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Brand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Marketing &amp;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+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Nurture - Existing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Q1 Total Campaign Spend: ₹228 Lakh | Q1 Total Revenue: ₹128.9 Lakh | Blended ROI: 2.84x</w:t>
      </w:r>
    </w:p>
    <w:p>
      <w:r>
        <w:pict>
          <v:rect style="width:0;height:1.5pt" o:hralign="center" o:hrstd="t" o:hr="t"/>
        </w:pict>
      </w:r>
    </w:p>
    <w:bookmarkEnd w:id="22"/>
    <w:bookmarkStart w:id="23" w:name="channel-wise-breakdown"/>
    <w:p>
      <w:pPr>
        <w:pStyle w:val="Heading2"/>
      </w:pPr>
      <w:r>
        <w:t xml:space="preserve">Channel-Wise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Ads (Google, Facebook, LinkedIn)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(Organic +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Marketing (Blog, Webinars, Whitepapers)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Sponsorships &amp;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ocial-media-metrics"/>
    <w:p>
      <w:pPr>
        <w:pStyle w:val="Heading2"/>
      </w:pPr>
      <w:r>
        <w:t xml:space="preserve">Social Media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Start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End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Impressions/Post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+40,200 followers (+27.7%)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+26,300 followers (+26.7%)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+16,600 followers (+31.7%)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+22,900 followers (+17.8%)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+12,900 followers (+36.7%)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ustomer-acquisition-funnel---q1-2024"/>
    <w:p>
      <w:pPr>
        <w:pStyle w:val="Heading2"/>
      </w:pPr>
      <w:r>
        <w:t xml:space="preserve">Customer Acquisition Funnel - Q1 2024</w:t>
      </w:r>
    </w:p>
    <w:p>
      <w:pPr>
        <w:pStyle w:val="FirstParagraph"/>
      </w:pPr>
      <w:r>
        <w:rPr>
          <w:b/>
          <w:bCs/>
        </w:rPr>
        <w:t xml:space="preserve">Total Addressable Reach: 9.23 Million impressions across all channels</w:t>
      </w:r>
    </w:p>
    <w:p>
      <w:pPr>
        <w:pStyle w:val="SourceCode"/>
      </w:pPr>
      <w:r>
        <w:rPr>
          <w:rStyle w:val="VerbatimChar"/>
        </w:rPr>
        <w:t xml:space="preserve">Stage                    Volume          % of Previous    Drop-off Rate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Awareness                9,230,000       -                -</w:t>
      </w:r>
      <w:r>
        <w:br/>
      </w:r>
      <w:r>
        <w:rPr>
          <w:rStyle w:val="VerbatimChar"/>
        </w:rPr>
        <w:t xml:space="preserve">Interest (Clicks)        184,100         2.0%             98.0%</w:t>
      </w:r>
      <w:r>
        <w:br/>
      </w:r>
      <w:r>
        <w:rPr>
          <w:rStyle w:val="VerbatimChar"/>
        </w:rPr>
        <w:t xml:space="preserve">Consideration (Leads)    142,500         77.4%            22.6%</w:t>
      </w:r>
      <w:r>
        <w:br/>
      </w:r>
      <w:r>
        <w:rPr>
          <w:rStyle w:val="VerbatimChar"/>
        </w:rPr>
        <w:t xml:space="preserve">Conversion (Signup)      48,530          34.1%            65.9%</w:t>
      </w:r>
      <w:r>
        <w:br/>
      </w:r>
      <w:r>
        <w:rPr>
          <w:rStyle w:val="VerbatimChar"/>
        </w:rPr>
        <w:t xml:space="preserve">Active Users (30-day)    42,750          88.1%            11.9%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Strong interest-to-consideration conversion (77.4%) indicates effective targeting. Drop-off at consideration-to-conversion stage (65.9%) suggests need for improved onboarding and sales enablement.</w:t>
      </w:r>
    </w:p>
    <w:p>
      <w:r>
        <w:pict>
          <v:rect style="width:0;height:1.5pt" o:hralign="center" o:hrstd="t" o:hr="t"/>
        </w:pict>
      </w:r>
    </w:p>
    <w:bookmarkEnd w:id="25"/>
    <w:bookmarkStart w:id="26" w:name="geographic-performance"/>
    <w:p>
      <w:pPr>
        <w:pStyle w:val="Heading2"/>
      </w:pPr>
      <w:r>
        <w:t xml:space="preserve">Geographic Performance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Share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adoption in London fintech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environment 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regulatory approval; catch-up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(Existing)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growth in core 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ampaign-spotlight-instantpay-launch"/>
    <w:p>
      <w:pPr>
        <w:pStyle w:val="Heading2"/>
      </w:pPr>
      <w:r>
        <w:t xml:space="preserve">Campaign Spotlight: InstantPay Launch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Drive rapid adoption of new payment feature across customer base and new prospects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₹52 Lakh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8 weeks (Feb 1 - Mar 31)</w:t>
      </w:r>
    </w:p>
    <w:p>
      <w:pPr>
        <w:pStyle w:val="BodyText"/>
      </w:pPr>
      <w:r>
        <w:rPr>
          <w:b/>
          <w:bCs/>
        </w:rPr>
        <w:t xml:space="preserve">Campaign Channels:</w:t>
      </w:r>
      <w:r>
        <w:t xml:space="preserve"> </w:t>
      </w:r>
      <w:r>
        <w:t xml:space="preserve">- In-app notifications to 850K existing users</w:t>
      </w:r>
      <w:r>
        <w:t xml:space="preserve"> </w:t>
      </w:r>
      <w:r>
        <w:t xml:space="preserve">- Email campaign to 1.2M opted-in subscribers</w:t>
      </w:r>
      <w:r>
        <w:t xml:space="preserve"> </w:t>
      </w:r>
      <w:r>
        <w:t xml:space="preserve">- Paid social media ads (Instagram, Facebook, LinkedIn)</w:t>
      </w:r>
      <w:r>
        <w:t xml:space="preserve"> </w:t>
      </w:r>
      <w:r>
        <w:t xml:space="preserve">- Influencer partnerships (15 fintech micro-influencers)</w:t>
      </w:r>
      <w:r>
        <w:t xml:space="preserve"> </w:t>
      </w:r>
      <w:r>
        <w:t xml:space="preserve">- Press releases to 200+ financial media outlets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- 52,100 new sign-ups for InstantPay feature</w:t>
      </w:r>
      <w:r>
        <w:t xml:space="preserve"> </w:t>
      </w:r>
      <w:r>
        <w:t xml:space="preserve">- 11,640 users completed first transaction</w:t>
      </w:r>
      <w:r>
        <w:t xml:space="preserve"> </w:t>
      </w:r>
      <w:r>
        <w:t xml:space="preserve">- 34.9 Lakh in attributed revenue</w:t>
      </w:r>
      <w:r>
        <w:t xml:space="preserve"> </w:t>
      </w:r>
      <w:r>
        <w:t xml:space="preserve">- 3.36x ROI (highest among Q1 campaigns)</w:t>
      </w:r>
      <w:r>
        <w:t xml:space="preserve"> </w:t>
      </w:r>
      <w:r>
        <w:t xml:space="preserve">- 30% open rate on email (industry avg: 18%)</w:t>
      </w:r>
      <w:r>
        <w:t xml:space="preserve"> </w:t>
      </w:r>
      <w:r>
        <w:t xml:space="preserve">- 5.2% conversion rate from email (industry avg: 2-3%)</w:t>
      </w:r>
    </w:p>
    <w:p>
      <w:r>
        <w:pict>
          <v:rect style="width:0;height:1.5pt" o:hralign="center" o:hrstd="t" o:hr="t"/>
        </w:pict>
      </w:r>
    </w:p>
    <w:bookmarkEnd w:id="27"/>
    <w:bookmarkStart w:id="28" w:name="performance-vs.-targets"/>
    <w:p>
      <w:pPr>
        <w:pStyle w:val="Heading2"/>
      </w:pPr>
      <w:r>
        <w:t xml:space="preserve">Performance vs. Targets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-1,500 (-1%)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₹70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₹68.5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-1.5L (-2.1%)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-₹119 (-6.6%)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+0.08x (+2.7%)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b-testing-results"/>
    <w:p>
      <w:pPr>
        <w:pStyle w:val="Heading2"/>
      </w:pPr>
      <w:r>
        <w:t xml:space="preserve">A/B Testing Results</w:t>
      </w:r>
    </w:p>
    <w:p>
      <w:pPr>
        <w:pStyle w:val="FirstParagraph"/>
      </w:pPr>
      <w:r>
        <w:rPr>
          <w:b/>
          <w:bCs/>
        </w:rPr>
        <w:t xml:space="preserve">Test 1: Email Subject Lines (InstantPay Campaign)</w:t>
      </w:r>
      <w:r>
        <w:t xml:space="preserve"> </w:t>
      </w:r>
      <w:r>
        <w:t xml:space="preserve">- Variant A:</w:t>
      </w:r>
      <w:r>
        <w:t xml:space="preserve"> </w:t>
      </w:r>
      <w:r>
        <w:t xml:space="preserve">“</w:t>
      </w:r>
      <w:r>
        <w:t xml:space="preserve">Introducing InstantPay: Faster Transactions, Better Control</w:t>
      </w:r>
      <w:r>
        <w:t xml:space="preserve">”</w:t>
      </w:r>
      <w:r>
        <w:t xml:space="preserve"> </w:t>
      </w:r>
      <w:r>
        <w:t xml:space="preserve">- 28% open rate</w:t>
      </w:r>
      <w:r>
        <w:t xml:space="preserve"> </w:t>
      </w:r>
      <w:r>
        <w:t xml:space="preserve">- Variant B:</w:t>
      </w:r>
      <w:r>
        <w:t xml:space="preserve"> </w:t>
      </w:r>
      <w:r>
        <w:t xml:space="preserve">“</w:t>
      </w:r>
      <w:r>
        <w:t xml:space="preserve">Make Payments 10x Faster with InstantPay</w:t>
      </w:r>
      <w:r>
        <w:t xml:space="preserve">”</w:t>
      </w:r>
      <w:r>
        <w:t xml:space="preserve"> </w:t>
      </w:r>
      <w:r>
        <w:t xml:space="preserve">- 32% open rate</w:t>
      </w:r>
      <w:r>
        <w:t xml:space="preserve"> </w:t>
      </w:r>
      <w:r>
        <w:t xml:space="preserve">- Winner: Variant B (14% improvement)</w:t>
      </w:r>
      <w:r>
        <w:t xml:space="preserve"> </w:t>
      </w:r>
      <w:r>
        <w:t xml:space="preserve">- Recommendation: Use urgency + benefit messaging in future campaigns</w:t>
      </w:r>
    </w:p>
    <w:p>
      <w:pPr>
        <w:pStyle w:val="BodyText"/>
      </w:pPr>
      <w:r>
        <w:rPr>
          <w:b/>
          <w:bCs/>
        </w:rPr>
        <w:t xml:space="preserve">Test 2: Landing Page Design (UK Market Entry)</w:t>
      </w:r>
      <w:r>
        <w:t xml:space="preserve"> </w:t>
      </w:r>
      <w:r>
        <w:t xml:space="preserve">- Variant A: Form-heavy landing page (8 fields) - 4.2% conversion rate</w:t>
      </w:r>
      <w:r>
        <w:t xml:space="preserve"> </w:t>
      </w:r>
      <w:r>
        <w:t xml:space="preserve">- Variant B: Minimal form (3 fields) + social proof - 5.8% conversion rate</w:t>
      </w:r>
      <w:r>
        <w:t xml:space="preserve"> </w:t>
      </w:r>
      <w:r>
        <w:t xml:space="preserve">- Winner: Variant B (38% improvement)</w:t>
      </w:r>
      <w:r>
        <w:t xml:space="preserve"> </w:t>
      </w:r>
      <w:r>
        <w:t xml:space="preserve">- Recommendation: Prioritize form minimization and social proof elements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ations-for-q2-2024"/>
    <w:p>
      <w:pPr>
        <w:pStyle w:val="Heading2"/>
      </w:pPr>
      <w:r>
        <w:t xml:space="preserve">Recommendations for Q2 2024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Accelerate France Expansion:</w:t>
      </w:r>
      <w:r>
        <w:t xml:space="preserve"> </w:t>
      </w:r>
      <w:r>
        <w:t xml:space="preserve">Invest additional ₹10 Lakh to overcome regulatory delays and capture untapped market. Increase influencer partnerships from 3 to 8.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Double Down on InstantPay:</w:t>
      </w:r>
      <w:r>
        <w:t xml:space="preserve"> </w:t>
      </w:r>
      <w:r>
        <w:t xml:space="preserve">Implement referral program with rewards (cashback ₹100 per referral) to drive organic growth and reduce CAC for feature adoption.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Optimize Consideration Stage:</w:t>
      </w:r>
      <w:r>
        <w:t xml:space="preserve"> </w:t>
      </w:r>
      <w:r>
        <w:t xml:space="preserve">Test improved onboarding flows, live chat support, and risk-reversal messaging to reduce 65.9% drop-off at conversion stage.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Expand Social Media:</w:t>
      </w:r>
      <w:r>
        <w:t xml:space="preserve"> </w:t>
      </w:r>
      <w:r>
        <w:t xml:space="preserve">Allocate ₹15 Lakh to YouTube content creation and TikTok pilot for younger demographic penetration (25-35 age group).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Launch Southeast Asia Pilot:</w:t>
      </w:r>
      <w:r>
        <w:t xml:space="preserve"> </w:t>
      </w:r>
      <w:r>
        <w:t xml:space="preserve">Begin market research and soft launch campaigns in Singapore and Malaysia with ₹12 Lakh budget.</w:t>
      </w:r>
    </w:p>
    <w:p>
      <w:r>
        <w:pict>
          <v:rect style="width:0;height:1.5pt" o:hralign="center" o:hrstd="t" o:hr="t"/>
        </w:pict>
      </w:r>
    </w:p>
    <w:bookmarkEnd w:id="30"/>
    <w:bookmarkStart w:id="31" w:name="data-quality-notes"/>
    <w:p>
      <w:pPr>
        <w:pStyle w:val="Heading2"/>
      </w:pPr>
      <w:r>
        <w:t xml:space="preserve">Data Quality Notes</w:t>
      </w:r>
    </w:p>
    <w:p>
      <w:pPr>
        <w:pStyle w:val="Compact"/>
        <w:numPr>
          <w:ilvl w:val="0"/>
          <w:numId w:val="1002"/>
        </w:numPr>
      </w:pPr>
      <w:r>
        <w:t xml:space="preserve">All metrics verified against Google Analytics, CRM (HubSpot), and Finance systems</w:t>
      </w:r>
    </w:p>
    <w:p>
      <w:pPr>
        <w:pStyle w:val="Compact"/>
        <w:numPr>
          <w:ilvl w:val="0"/>
          <w:numId w:val="1002"/>
        </w:numPr>
      </w:pPr>
      <w:r>
        <w:t xml:space="preserve">Revenue figures represent marketing-attributed revenue (direct + assisted conversions)</w:t>
      </w:r>
    </w:p>
    <w:p>
      <w:pPr>
        <w:pStyle w:val="Compact"/>
        <w:numPr>
          <w:ilvl w:val="0"/>
          <w:numId w:val="1002"/>
        </w:numPr>
      </w:pPr>
      <w:r>
        <w:t xml:space="preserve">Impressions counted at 100% viewability threshold (IAB standard)</w:t>
      </w:r>
    </w:p>
    <w:p>
      <w:pPr>
        <w:pStyle w:val="Compact"/>
        <w:numPr>
          <w:ilvl w:val="0"/>
          <w:numId w:val="1002"/>
        </w:numPr>
      </w:pPr>
      <w:r>
        <w:t xml:space="preserve">Conversion tracking enabled on 95% of digital properties</w:t>
      </w:r>
    </w:p>
    <w:p>
      <w:pPr>
        <w:pStyle w:val="Compact"/>
        <w:numPr>
          <w:ilvl w:val="0"/>
          <w:numId w:val="1002"/>
        </w:numPr>
      </w:pPr>
      <w:r>
        <w:t xml:space="preserve">Geographic data based on IP location and user self-reported location</w:t>
      </w:r>
    </w:p>
    <w:p>
      <w:r>
        <w:pict>
          <v:rect style="width:0;height:1.5pt" o:hralign="center" o:hrstd="t" o:hr="t"/>
        </w:pic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Q1 2024 exceeded expectations with strong European market penetration and successful product launch execution. The InstantPay campaign delivered exceptional ROI (3.36x), validating our multi-channel approach. Customer acquisition remained on target despite regulatory headwinds in France. The focus now shifts to Southeast Asia expansion, optimization of the consideration-to-conversion funnel, and maximizing InstantPay adoption through organic referral mechanisms.</w:t>
      </w:r>
    </w:p>
    <w:p>
      <w:pPr>
        <w:pStyle w:val="BodyText"/>
      </w:pPr>
      <w:r>
        <w:rPr>
          <w:b/>
          <w:bCs/>
        </w:rPr>
        <w:t xml:space="preserve">Q1 Performance Grade: A-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2026-03-24T06:46:46Z</dcterms:created>
  <dcterms:modified xsi:type="dcterms:W3CDTF">2026-03-24T06:46:46Z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