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marketing-report---q2-2024"/>
    <w:p>
      <w:pPr>
        <w:pStyle w:val="Heading1"/>
      </w:pPr>
      <w:r>
        <w:t xml:space="preserve">Marketing Report - Q2 2024</w:t>
      </w:r>
    </w:p>
    <w:bookmarkStart w:id="20" w:name="finsolve-technologies"/>
    <w:p>
      <w:pPr>
        <w:pStyle w:val="Heading2"/>
      </w:pPr>
      <w:r>
        <w:t xml:space="preserve">FinSolve Technologies</w:t>
      </w:r>
    </w:p>
    <w:p>
      <w:pPr>
        <w:pStyle w:val="FirstParagraph"/>
      </w:pPr>
      <w:r>
        <w:rPr>
          <w:b/>
          <w:bCs/>
        </w:rPr>
        <w:t xml:space="preserve">Reporting Period:</w:t>
      </w:r>
      <w:r>
        <w:t xml:space="preserve"> </w:t>
      </w:r>
      <w:r>
        <w:t xml:space="preserve">April 1 - June 30, 2024</w:t>
      </w:r>
      <w:r>
        <w:t xml:space="preserve"> </w:t>
      </w:r>
      <w:r>
        <w:rPr>
          <w:b/>
          <w:bCs/>
        </w:rPr>
        <w:t xml:space="preserve">Currency:</w:t>
      </w:r>
      <w:r>
        <w:t xml:space="preserve"> </w:t>
      </w:r>
      <w:r>
        <w:t xml:space="preserve">INR (Indian Rupees)</w:t>
      </w:r>
      <w:r>
        <w:t xml:space="preserve"> </w:t>
      </w:r>
      <w:r>
        <w:rPr>
          <w:b/>
          <w:bCs/>
        </w:rPr>
        <w:t xml:space="preserve">Company:</w:t>
      </w:r>
      <w:r>
        <w:t xml:space="preserve"> </w:t>
      </w:r>
      <w:r>
        <w:t xml:space="preserve">FinSolve Technologies |</w:t>
      </w:r>
      <w:r>
        <w:t xml:space="preserve"> </w:t>
      </w:r>
      <w:r>
        <w:rPr>
          <w:b/>
          <w:bCs/>
        </w:rPr>
        <w:t xml:space="preserve">Location:</w:t>
      </w:r>
      <w:r>
        <w:t xml:space="preserve"> </w:t>
      </w:r>
      <w:r>
        <w:t xml:space="preserve">India</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Q2 2024 saw aggressive Southeast Asia expansion and a significant influencer marketing push to accelerate B2B pipeline development. With a marketing budget of ₹28 Crore, we expanded into Singapore, Malaysia, and Thailand while strengthening our European base. The quarter delivered 162,800 new customers and ₹82.3 Lakh in marketing-attributed revenue, representing 9.6% growth over Q1.</w:t>
      </w:r>
    </w:p>
    <w:p>
      <w:pPr>
        <w:pStyle w:val="BodyText"/>
      </w:pPr>
      <w:r>
        <w:rPr>
          <w:b/>
          <w:bCs/>
        </w:rPr>
        <w:t xml:space="preserve">Key Metrics:</w:t>
      </w:r>
      <w:r>
        <w:t xml:space="preserve"> </w:t>
      </w:r>
      <w:r>
        <w:t xml:space="preserve">- Total Marketing Spend: ₹28 Crore</w:t>
      </w:r>
      <w:r>
        <w:t xml:space="preserve"> </w:t>
      </w:r>
      <w:r>
        <w:t xml:space="preserve">- New Customer Acquisitions: 162,800 (+9.5% QoQ)</w:t>
      </w:r>
      <w:r>
        <w:t xml:space="preserve"> </w:t>
      </w:r>
      <w:r>
        <w:t xml:space="preserve">- Marketing-Attributed Revenue: ₹82.3 Lakh (+20.1% QoQ)</w:t>
      </w:r>
      <w:r>
        <w:t xml:space="preserve"> </w:t>
      </w:r>
      <w:r>
        <w:t xml:space="preserve">- Average ROI: 3.29x</w:t>
      </w:r>
      <w:r>
        <w:t xml:space="preserve"> </w:t>
      </w:r>
      <w:r>
        <w:t xml:space="preserve">- Customer Acquisition Cost (CAC): ₹1,719 per customer</w:t>
      </w:r>
      <w:r>
        <w:t xml:space="preserve"> </w:t>
      </w:r>
      <w:r>
        <w:t xml:space="preserve">- B2B Pipeline Value: ₹45 Lakh (10 qualified enterprise leads)</w:t>
      </w:r>
    </w:p>
    <w:p>
      <w:r>
        <w:pict>
          <v:rect style="width:0;height:1.5pt" o:hralign="center" o:hrstd="t" o:hr="t"/>
        </w:pict>
      </w:r>
    </w:p>
    <w:bookmarkEnd w:id="21"/>
    <w:bookmarkStart w:id="22" w:name="campaign-performance-summary"/>
    <w:p>
      <w:pPr>
        <w:pStyle w:val="Heading2"/>
      </w:pPr>
      <w:r>
        <w:t xml:space="preserve">Campaign Performance Summary</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Campaign Name</w:t>
            </w:r>
          </w:p>
        </w:tc>
        <w:tc>
          <w:tcPr/>
          <w:p>
            <w:pPr>
              <w:pStyle w:val="Compact"/>
              <w:jc w:val="left"/>
            </w:pPr>
            <w:r>
              <w:t xml:space="preserve">Channel</w:t>
            </w:r>
          </w:p>
        </w:tc>
        <w:tc>
          <w:tcPr/>
          <w:p>
            <w:pPr>
              <w:pStyle w:val="Compact"/>
              <w:jc w:val="left"/>
            </w:pPr>
            <w:r>
              <w:t xml:space="preserve">Spend (₹L)</w:t>
            </w:r>
          </w:p>
        </w:tc>
        <w:tc>
          <w:tcPr/>
          <w:p>
            <w:pPr>
              <w:pStyle w:val="Compact"/>
              <w:jc w:val="left"/>
            </w:pPr>
            <w:r>
              <w:t xml:space="preserve">Impressions</w:t>
            </w:r>
          </w:p>
        </w:tc>
        <w:tc>
          <w:tcPr/>
          <w:p>
            <w:pPr>
              <w:pStyle w:val="Compact"/>
              <w:jc w:val="left"/>
            </w:pPr>
            <w:r>
              <w:t xml:space="preserve">Clicks</w:t>
            </w:r>
          </w:p>
        </w:tc>
        <w:tc>
          <w:tcPr/>
          <w:p>
            <w:pPr>
              <w:pStyle w:val="Compact"/>
              <w:jc w:val="left"/>
            </w:pPr>
            <w:r>
              <w:t xml:space="preserve">Conversions</w:t>
            </w:r>
          </w:p>
        </w:tc>
        <w:tc>
          <w:tcPr/>
          <w:p>
            <w:pPr>
              <w:pStyle w:val="Compact"/>
              <w:jc w:val="left"/>
            </w:pPr>
            <w:r>
              <w:t xml:space="preserve">Revenue (₹L)</w:t>
            </w:r>
          </w:p>
        </w:tc>
        <w:tc>
          <w:tcPr/>
          <w:p>
            <w:pPr>
              <w:pStyle w:val="Compact"/>
              <w:jc w:val="left"/>
            </w:pPr>
            <w:r>
              <w:t xml:space="preserve">ROI</w:t>
            </w:r>
          </w:p>
        </w:tc>
        <w:tc>
          <w:tcPr/>
          <w:p>
            <w:pPr>
              <w:pStyle w:val="Compact"/>
              <w:jc w:val="left"/>
            </w:pPr>
            <w:r>
              <w:t xml:space="preserve">Status</w:t>
            </w:r>
          </w:p>
        </w:tc>
      </w:tr>
      <w:tr>
        <w:tc>
          <w:tcPr/>
          <w:p>
            <w:pPr>
              <w:pStyle w:val="Compact"/>
              <w:jc w:val="left"/>
            </w:pPr>
            <w:r>
              <w:t xml:space="preserve">Southeast Asia Market Entry</w:t>
            </w:r>
          </w:p>
        </w:tc>
        <w:tc>
          <w:tcPr/>
          <w:p>
            <w:pPr>
              <w:pStyle w:val="Compact"/>
              <w:jc w:val="left"/>
            </w:pPr>
            <w:r>
              <w:t xml:space="preserve">Digital Ads</w:t>
            </w:r>
          </w:p>
        </w:tc>
        <w:tc>
          <w:tcPr/>
          <w:p>
            <w:pPr>
              <w:pStyle w:val="Compact"/>
              <w:jc w:val="left"/>
            </w:pPr>
            <w:r>
              <w:t xml:space="preserve">62</w:t>
            </w:r>
          </w:p>
        </w:tc>
        <w:tc>
          <w:tcPr/>
          <w:p>
            <w:pPr>
              <w:pStyle w:val="Compact"/>
              <w:jc w:val="left"/>
            </w:pPr>
            <w:r>
              <w:t xml:space="preserve">2,840,000</w:t>
            </w:r>
          </w:p>
        </w:tc>
        <w:tc>
          <w:tcPr/>
          <w:p>
            <w:pPr>
              <w:pStyle w:val="Compact"/>
              <w:jc w:val="left"/>
            </w:pPr>
            <w:r>
              <w:t xml:space="preserve">68,160</w:t>
            </w:r>
          </w:p>
        </w:tc>
        <w:tc>
          <w:tcPr/>
          <w:p>
            <w:pPr>
              <w:pStyle w:val="Compact"/>
              <w:jc w:val="left"/>
            </w:pPr>
            <w:r>
              <w:t xml:space="preserve">13,632</w:t>
            </w:r>
          </w:p>
        </w:tc>
        <w:tc>
          <w:tcPr/>
          <w:p>
            <w:pPr>
              <w:pStyle w:val="Compact"/>
              <w:jc w:val="left"/>
            </w:pPr>
            <w:r>
              <w:t xml:space="preserve">40.9</w:t>
            </w:r>
          </w:p>
        </w:tc>
        <w:tc>
          <w:tcPr/>
          <w:p>
            <w:pPr>
              <w:pStyle w:val="Compact"/>
              <w:jc w:val="left"/>
            </w:pPr>
            <w:r>
              <w:t xml:space="preserve">3.29x</w:t>
            </w:r>
          </w:p>
        </w:tc>
        <w:tc>
          <w:tcPr/>
          <w:p>
            <w:pPr>
              <w:pStyle w:val="Compact"/>
              <w:jc w:val="left"/>
            </w:pPr>
            <w:r>
              <w:t xml:space="preserve">Completed</w:t>
            </w:r>
          </w:p>
        </w:tc>
      </w:tr>
      <w:tr>
        <w:tc>
          <w:tcPr/>
          <w:p>
            <w:pPr>
              <w:pStyle w:val="Compact"/>
              <w:jc w:val="left"/>
            </w:pPr>
            <w:r>
              <w:t xml:space="preserve">B2B Enterprise Push - LinkedIn</w:t>
            </w:r>
          </w:p>
        </w:tc>
        <w:tc>
          <w:tcPr/>
          <w:p>
            <w:pPr>
              <w:pStyle w:val="Compact"/>
              <w:jc w:val="left"/>
            </w:pPr>
            <w:r>
              <w:t xml:space="preserve">LinkedIn/Email</w:t>
            </w:r>
          </w:p>
        </w:tc>
        <w:tc>
          <w:tcPr/>
          <w:p>
            <w:pPr>
              <w:pStyle w:val="Compact"/>
              <w:jc w:val="left"/>
            </w:pPr>
            <w:r>
              <w:t xml:space="preserve">48</w:t>
            </w:r>
          </w:p>
        </w:tc>
        <w:tc>
          <w:tcPr/>
          <w:p>
            <w:pPr>
              <w:pStyle w:val="Compact"/>
              <w:jc w:val="left"/>
            </w:pPr>
            <w:r>
              <w:t xml:space="preserve">680,000</w:t>
            </w:r>
          </w:p>
        </w:tc>
        <w:tc>
          <w:tcPr/>
          <w:p>
            <w:pPr>
              <w:pStyle w:val="Compact"/>
              <w:jc w:val="left"/>
            </w:pPr>
            <w:r>
              <w:t xml:space="preserve">24,500</w:t>
            </w:r>
          </w:p>
        </w:tc>
        <w:tc>
          <w:tcPr/>
          <w:p>
            <w:pPr>
              <w:pStyle w:val="Compact"/>
              <w:jc w:val="left"/>
            </w:pPr>
            <w:r>
              <w:t xml:space="preserve">4,900</w:t>
            </w:r>
          </w:p>
        </w:tc>
        <w:tc>
          <w:tcPr/>
          <w:p>
            <w:pPr>
              <w:pStyle w:val="Compact"/>
              <w:jc w:val="left"/>
            </w:pPr>
            <w:r>
              <w:t xml:space="preserve">29.4</w:t>
            </w:r>
          </w:p>
        </w:tc>
        <w:tc>
          <w:tcPr/>
          <w:p>
            <w:pPr>
              <w:pStyle w:val="Compact"/>
              <w:jc w:val="left"/>
            </w:pPr>
            <w:r>
              <w:t xml:space="preserve">3.08x</w:t>
            </w:r>
          </w:p>
        </w:tc>
        <w:tc>
          <w:tcPr/>
          <w:p>
            <w:pPr>
              <w:pStyle w:val="Compact"/>
              <w:jc w:val="left"/>
            </w:pPr>
            <w:r>
              <w:t xml:space="preserve">Completed</w:t>
            </w:r>
          </w:p>
        </w:tc>
      </w:tr>
      <w:tr>
        <w:tc>
          <w:tcPr/>
          <w:p>
            <w:pPr>
              <w:pStyle w:val="Compact"/>
              <w:jc w:val="left"/>
            </w:pPr>
            <w:r>
              <w:t xml:space="preserve">Influencer Partnerships Campaign</w:t>
            </w:r>
          </w:p>
        </w:tc>
        <w:tc>
          <w:tcPr/>
          <w:p>
            <w:pPr>
              <w:pStyle w:val="Compact"/>
              <w:jc w:val="left"/>
            </w:pPr>
            <w:r>
              <w:t xml:space="preserve">Social Media</w:t>
            </w:r>
          </w:p>
        </w:tc>
        <w:tc>
          <w:tcPr/>
          <w:p>
            <w:pPr>
              <w:pStyle w:val="Compact"/>
              <w:jc w:val="left"/>
            </w:pPr>
            <w:r>
              <w:t xml:space="preserve">52</w:t>
            </w:r>
          </w:p>
        </w:tc>
        <w:tc>
          <w:tcPr/>
          <w:p>
            <w:pPr>
              <w:pStyle w:val="Compact"/>
              <w:jc w:val="left"/>
            </w:pPr>
            <w:r>
              <w:t xml:space="preserve">3,200,000</w:t>
            </w:r>
          </w:p>
        </w:tc>
        <w:tc>
          <w:tcPr/>
          <w:p>
            <w:pPr>
              <w:pStyle w:val="Compact"/>
              <w:jc w:val="left"/>
            </w:pPr>
            <w:r>
              <w:t xml:space="preserve">54,400</w:t>
            </w:r>
          </w:p>
        </w:tc>
        <w:tc>
          <w:tcPr/>
          <w:p>
            <w:pPr>
              <w:pStyle w:val="Compact"/>
              <w:jc w:val="left"/>
            </w:pPr>
            <w:r>
              <w:t xml:space="preserve">10,880</w:t>
            </w:r>
          </w:p>
        </w:tc>
        <w:tc>
          <w:tcPr/>
          <w:p>
            <w:pPr>
              <w:pStyle w:val="Compact"/>
              <w:jc w:val="left"/>
            </w:pPr>
            <w:r>
              <w:t xml:space="preserve">32.6</w:t>
            </w:r>
          </w:p>
        </w:tc>
        <w:tc>
          <w:tcPr/>
          <w:p>
            <w:pPr>
              <w:pStyle w:val="Compact"/>
              <w:jc w:val="left"/>
            </w:pPr>
            <w:r>
              <w:t xml:space="preserve">3.13x</w:t>
            </w:r>
          </w:p>
        </w:tc>
        <w:tc>
          <w:tcPr/>
          <w:p>
            <w:pPr>
              <w:pStyle w:val="Compact"/>
              <w:jc w:val="left"/>
            </w:pPr>
            <w:r>
              <w:t xml:space="preserve">Completed</w:t>
            </w:r>
          </w:p>
        </w:tc>
      </w:tr>
      <w:tr>
        <w:tc>
          <w:tcPr/>
          <w:p>
            <w:pPr>
              <w:pStyle w:val="Compact"/>
              <w:jc w:val="left"/>
            </w:pPr>
            <w:r>
              <w:t xml:space="preserve">InstantPay Retention Program</w:t>
            </w:r>
          </w:p>
        </w:tc>
        <w:tc>
          <w:tcPr/>
          <w:p>
            <w:pPr>
              <w:pStyle w:val="Compact"/>
              <w:jc w:val="left"/>
            </w:pPr>
            <w:r>
              <w:t xml:space="preserve">Email/In-app</w:t>
            </w:r>
          </w:p>
        </w:tc>
        <w:tc>
          <w:tcPr/>
          <w:p>
            <w:pPr>
              <w:pStyle w:val="Compact"/>
              <w:jc w:val="left"/>
            </w:pPr>
            <w:r>
              <w:t xml:space="preserve">35</w:t>
            </w:r>
          </w:p>
        </w:tc>
        <w:tc>
          <w:tcPr/>
          <w:p>
            <w:pPr>
              <w:pStyle w:val="Compact"/>
              <w:jc w:val="left"/>
            </w:pPr>
            <w:r>
              <w:t xml:space="preserve">1,800,000</w:t>
            </w:r>
          </w:p>
        </w:tc>
        <w:tc>
          <w:tcPr/>
          <w:p>
            <w:pPr>
              <w:pStyle w:val="Compact"/>
              <w:jc w:val="left"/>
            </w:pPr>
            <w:r>
              <w:t xml:space="preserve">22,500</w:t>
            </w:r>
          </w:p>
        </w:tc>
        <w:tc>
          <w:tcPr/>
          <w:p>
            <w:pPr>
              <w:pStyle w:val="Compact"/>
              <w:jc w:val="left"/>
            </w:pPr>
            <w:r>
              <w:t xml:space="preserve">4,500</w:t>
            </w:r>
          </w:p>
        </w:tc>
        <w:tc>
          <w:tcPr/>
          <w:p>
            <w:pPr>
              <w:pStyle w:val="Compact"/>
              <w:jc w:val="left"/>
            </w:pPr>
            <w:r>
              <w:t xml:space="preserve">13.5</w:t>
            </w:r>
          </w:p>
        </w:tc>
        <w:tc>
          <w:tcPr/>
          <w:p>
            <w:pPr>
              <w:pStyle w:val="Compact"/>
              <w:jc w:val="left"/>
            </w:pPr>
            <w:r>
              <w:t xml:space="preserve">1.93x</w:t>
            </w:r>
          </w:p>
        </w:tc>
        <w:tc>
          <w:tcPr/>
          <w:p>
            <w:pPr>
              <w:pStyle w:val="Compact"/>
              <w:jc w:val="left"/>
            </w:pPr>
            <w:r>
              <w:t xml:space="preserve">Completed</w:t>
            </w:r>
          </w:p>
        </w:tc>
      </w:tr>
      <w:tr>
        <w:tc>
          <w:tcPr/>
          <w:p>
            <w:pPr>
              <w:pStyle w:val="Compact"/>
              <w:jc w:val="left"/>
            </w:pPr>
            <w:r>
              <w:t xml:space="preserve">Content Marketing - Webinars</w:t>
            </w:r>
          </w:p>
        </w:tc>
        <w:tc>
          <w:tcPr/>
          <w:p>
            <w:pPr>
              <w:pStyle w:val="Compact"/>
              <w:jc w:val="left"/>
            </w:pPr>
            <w:r>
              <w:t xml:space="preserve">Virtual Events</w:t>
            </w:r>
          </w:p>
        </w:tc>
        <w:tc>
          <w:tcPr/>
          <w:p>
            <w:pPr>
              <w:pStyle w:val="Compact"/>
              <w:jc w:val="left"/>
            </w:pPr>
            <w:r>
              <w:t xml:space="preserve">22</w:t>
            </w:r>
          </w:p>
        </w:tc>
        <w:tc>
          <w:tcPr/>
          <w:p>
            <w:pPr>
              <w:pStyle w:val="Compact"/>
              <w:jc w:val="left"/>
            </w:pPr>
            <w:r>
              <w:t xml:space="preserve">420,000</w:t>
            </w:r>
          </w:p>
        </w:tc>
        <w:tc>
          <w:tcPr/>
          <w:p>
            <w:pPr>
              <w:pStyle w:val="Compact"/>
              <w:jc w:val="left"/>
            </w:pPr>
            <w:r>
              <w:t xml:space="preserve">18,600</w:t>
            </w:r>
          </w:p>
        </w:tc>
        <w:tc>
          <w:tcPr/>
          <w:p>
            <w:pPr>
              <w:pStyle w:val="Compact"/>
              <w:jc w:val="left"/>
            </w:pPr>
            <w:r>
              <w:t xml:space="preserve">3,720</w:t>
            </w:r>
          </w:p>
        </w:tc>
        <w:tc>
          <w:tcPr/>
          <w:p>
            <w:pPr>
              <w:pStyle w:val="Compact"/>
              <w:jc w:val="left"/>
            </w:pPr>
            <w:r>
              <w:t xml:space="preserve">11.2</w:t>
            </w:r>
          </w:p>
        </w:tc>
        <w:tc>
          <w:tcPr/>
          <w:p>
            <w:pPr>
              <w:pStyle w:val="Compact"/>
              <w:jc w:val="left"/>
            </w:pPr>
            <w:r>
              <w:t xml:space="preserve">2.55x</w:t>
            </w:r>
          </w:p>
        </w:tc>
        <w:tc>
          <w:tcPr/>
          <w:p>
            <w:pPr>
              <w:pStyle w:val="Compact"/>
              <w:jc w:val="left"/>
            </w:pPr>
            <w:r>
              <w:t xml:space="preserve">Completed</w:t>
            </w:r>
          </w:p>
        </w:tc>
      </w:tr>
      <w:tr>
        <w:tc>
          <w:tcPr/>
          <w:p>
            <w:pPr>
              <w:pStyle w:val="Compact"/>
              <w:jc w:val="left"/>
            </w:pPr>
            <w:r>
              <w:t xml:space="preserve">Paid Search (Google Ads)</w:t>
            </w:r>
          </w:p>
        </w:tc>
        <w:tc>
          <w:tcPr/>
          <w:p>
            <w:pPr>
              <w:pStyle w:val="Compact"/>
              <w:jc w:val="left"/>
            </w:pPr>
            <w:r>
              <w:t xml:space="preserve">SEM</w:t>
            </w:r>
          </w:p>
        </w:tc>
        <w:tc>
          <w:tcPr/>
          <w:p>
            <w:pPr>
              <w:pStyle w:val="Compact"/>
              <w:jc w:val="left"/>
            </w:pPr>
            <w:r>
              <w:t xml:space="preserve">38</w:t>
            </w:r>
          </w:p>
        </w:tc>
        <w:tc>
          <w:tcPr/>
          <w:p>
            <w:pPr>
              <w:pStyle w:val="Compact"/>
              <w:jc w:val="left"/>
            </w:pPr>
            <w:r>
              <w:t xml:space="preserve">1,920,000</w:t>
            </w:r>
          </w:p>
        </w:tc>
        <w:tc>
          <w:tcPr/>
          <w:p>
            <w:pPr>
              <w:pStyle w:val="Compact"/>
              <w:jc w:val="left"/>
            </w:pPr>
            <w:r>
              <w:t xml:space="preserve">44,800</w:t>
            </w:r>
          </w:p>
        </w:tc>
        <w:tc>
          <w:tcPr/>
          <w:p>
            <w:pPr>
              <w:pStyle w:val="Compact"/>
              <w:jc w:val="left"/>
            </w:pPr>
            <w:r>
              <w:t xml:space="preserve">8,960</w:t>
            </w:r>
          </w:p>
        </w:tc>
        <w:tc>
          <w:tcPr/>
          <w:p>
            <w:pPr>
              <w:pStyle w:val="Compact"/>
              <w:jc w:val="left"/>
            </w:pPr>
            <w:r>
              <w:t xml:space="preserve">26.9</w:t>
            </w:r>
          </w:p>
        </w:tc>
        <w:tc>
          <w:tcPr/>
          <w:p>
            <w:pPr>
              <w:pStyle w:val="Compact"/>
              <w:jc w:val="left"/>
            </w:pPr>
            <w:r>
              <w:t xml:space="preserve">3.55x</w:t>
            </w:r>
          </w:p>
        </w:tc>
        <w:tc>
          <w:tcPr/>
          <w:p>
            <w:pPr>
              <w:pStyle w:val="Compact"/>
              <w:jc w:val="left"/>
            </w:pPr>
            <w:r>
              <w:t xml:space="preserve">Completed</w:t>
            </w:r>
          </w:p>
        </w:tc>
      </w:tr>
      <w:tr>
        <w:tc>
          <w:tcPr/>
          <w:p>
            <w:pPr>
              <w:pStyle w:val="Compact"/>
              <w:jc w:val="left"/>
            </w:pPr>
            <w:r>
              <w:t xml:space="preserve">Local Partnership Campaigns</w:t>
            </w:r>
          </w:p>
        </w:tc>
        <w:tc>
          <w:tcPr/>
          <w:p>
            <w:pPr>
              <w:pStyle w:val="Compact"/>
              <w:jc w:val="left"/>
            </w:pPr>
            <w:r>
              <w:t xml:space="preserve">Partnerships</w:t>
            </w:r>
          </w:p>
        </w:tc>
        <w:tc>
          <w:tcPr/>
          <w:p>
            <w:pPr>
              <w:pStyle w:val="Compact"/>
              <w:jc w:val="left"/>
            </w:pPr>
            <w:r>
              <w:t xml:space="preserve">28</w:t>
            </w:r>
          </w:p>
        </w:tc>
        <w:tc>
          <w:tcPr/>
          <w:p>
            <w:pPr>
              <w:pStyle w:val="Compact"/>
              <w:jc w:val="left"/>
            </w:pPr>
            <w:r>
              <w:t xml:space="preserve">1,250,000</w:t>
            </w:r>
          </w:p>
        </w:tc>
        <w:tc>
          <w:tcPr/>
          <w:p>
            <w:pPr>
              <w:pStyle w:val="Compact"/>
              <w:jc w:val="left"/>
            </w:pPr>
            <w:r>
              <w:t xml:space="preserve">12,500</w:t>
            </w:r>
          </w:p>
        </w:tc>
        <w:tc>
          <w:tcPr/>
          <w:p>
            <w:pPr>
              <w:pStyle w:val="Compact"/>
              <w:jc w:val="left"/>
            </w:pPr>
            <w:r>
              <w:t xml:space="preserve">2,500</w:t>
            </w:r>
          </w:p>
        </w:tc>
        <w:tc>
          <w:tcPr/>
          <w:p>
            <w:pPr>
              <w:pStyle w:val="Compact"/>
              <w:jc w:val="left"/>
            </w:pPr>
            <w:r>
              <w:t xml:space="preserve">7.5</w:t>
            </w:r>
          </w:p>
        </w:tc>
        <w:tc>
          <w:tcPr/>
          <w:p>
            <w:pPr>
              <w:pStyle w:val="Compact"/>
              <w:jc w:val="left"/>
            </w:pPr>
            <w:r>
              <w:t xml:space="preserve">1.34x</w:t>
            </w:r>
          </w:p>
        </w:tc>
        <w:tc>
          <w:tcPr/>
          <w:p>
            <w:pPr>
              <w:pStyle w:val="Compact"/>
              <w:jc w:val="left"/>
            </w:pPr>
            <w:r>
              <w:t xml:space="preserve">Completed</w:t>
            </w:r>
          </w:p>
        </w:tc>
      </w:tr>
      <w:tr>
        <w:tc>
          <w:tcPr/>
          <w:p>
            <w:pPr>
              <w:pStyle w:val="Compact"/>
              <w:jc w:val="left"/>
            </w:pPr>
            <w:r>
              <w:t xml:space="preserve">Summer Flash Sales Campaign</w:t>
            </w:r>
          </w:p>
        </w:tc>
        <w:tc>
          <w:tcPr/>
          <w:p>
            <w:pPr>
              <w:pStyle w:val="Compact"/>
              <w:jc w:val="left"/>
            </w:pPr>
            <w:r>
              <w:t xml:space="preserve">Multi-channel</w:t>
            </w:r>
          </w:p>
        </w:tc>
        <w:tc>
          <w:tcPr/>
          <w:p>
            <w:pPr>
              <w:pStyle w:val="Compact"/>
              <w:jc w:val="left"/>
            </w:pPr>
            <w:r>
              <w:t xml:space="preserve">42</w:t>
            </w:r>
          </w:p>
        </w:tc>
        <w:tc>
          <w:tcPr/>
          <w:p>
            <w:pPr>
              <w:pStyle w:val="Compact"/>
              <w:jc w:val="left"/>
            </w:pPr>
            <w:r>
              <w:t xml:space="preserve">2,100,000</w:t>
            </w:r>
          </w:p>
        </w:tc>
        <w:tc>
          <w:tcPr/>
          <w:p>
            <w:pPr>
              <w:pStyle w:val="Compact"/>
              <w:jc w:val="left"/>
            </w:pPr>
            <w:r>
              <w:t xml:space="preserve">38,200</w:t>
            </w:r>
          </w:p>
        </w:tc>
        <w:tc>
          <w:tcPr/>
          <w:p>
            <w:pPr>
              <w:pStyle w:val="Compact"/>
              <w:jc w:val="left"/>
            </w:pPr>
            <w:r>
              <w:t xml:space="preserve">7,640</w:t>
            </w:r>
          </w:p>
        </w:tc>
        <w:tc>
          <w:tcPr/>
          <w:p>
            <w:pPr>
              <w:pStyle w:val="Compact"/>
              <w:jc w:val="left"/>
            </w:pPr>
            <w:r>
              <w:t xml:space="preserve">15.3</w:t>
            </w:r>
          </w:p>
        </w:tc>
        <w:tc>
          <w:tcPr/>
          <w:p>
            <w:pPr>
              <w:pStyle w:val="Compact"/>
              <w:jc w:val="left"/>
            </w:pPr>
            <w:r>
              <w:t xml:space="preserve">1.83x</w:t>
            </w:r>
          </w:p>
        </w:tc>
        <w:tc>
          <w:tcPr/>
          <w:p>
            <w:pPr>
              <w:pStyle w:val="Compact"/>
              <w:jc w:val="left"/>
            </w:pPr>
            <w:r>
              <w:t xml:space="preserve">Ongoing</w:t>
            </w:r>
          </w:p>
        </w:tc>
      </w:tr>
    </w:tbl>
    <w:p>
      <w:pPr>
        <w:pStyle w:val="BodyText"/>
      </w:pPr>
      <w:r>
        <w:rPr>
          <w:b/>
          <w:bCs/>
        </w:rPr>
        <w:t xml:space="preserve">Q2 Total Campaign Spend: ₹327 Lakh | Q2 Total Revenue: ₹177.3 Lakh | Blended ROI: 2.72x</w:t>
      </w:r>
    </w:p>
    <w:p>
      <w:r>
        <w:pict>
          <v:rect style="width:0;height:1.5pt" o:hralign="center" o:hrstd="t" o:hr="t"/>
        </w:pict>
      </w:r>
    </w:p>
    <w:bookmarkEnd w:id="22"/>
    <w:bookmarkStart w:id="23" w:name="channel-wise-breakdown"/>
    <w:p>
      <w:pPr>
        <w:pStyle w:val="Heading2"/>
      </w:pPr>
      <w:r>
        <w:t xml:space="preserve">Channel-Wise Breakdown</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Channel</w:t>
            </w:r>
          </w:p>
        </w:tc>
        <w:tc>
          <w:tcPr/>
          <w:p>
            <w:pPr>
              <w:pStyle w:val="Compact"/>
              <w:jc w:val="left"/>
            </w:pPr>
            <w:r>
              <w:t xml:space="preserve">Spend (₹L)</w:t>
            </w:r>
          </w:p>
        </w:tc>
        <w:tc>
          <w:tcPr/>
          <w:p>
            <w:pPr>
              <w:pStyle w:val="Compact"/>
              <w:jc w:val="left"/>
            </w:pPr>
            <w:r>
              <w:t xml:space="preserve">Leads Generated</w:t>
            </w:r>
          </w:p>
        </w:tc>
        <w:tc>
          <w:tcPr/>
          <w:p>
            <w:pPr>
              <w:pStyle w:val="Compact"/>
              <w:jc w:val="left"/>
            </w:pPr>
            <w:r>
              <w:t xml:space="preserve">Conversions</w:t>
            </w:r>
          </w:p>
        </w:tc>
        <w:tc>
          <w:tcPr/>
          <w:p>
            <w:pPr>
              <w:pStyle w:val="Compact"/>
              <w:jc w:val="left"/>
            </w:pPr>
            <w:r>
              <w:t xml:space="preserve">CAC (₹)</w:t>
            </w:r>
          </w:p>
        </w:tc>
        <w:tc>
          <w:tcPr/>
          <w:p>
            <w:pPr>
              <w:pStyle w:val="Compact"/>
              <w:jc w:val="left"/>
            </w:pPr>
            <w:r>
              <w:t xml:space="preserve">ROAS</w:t>
            </w:r>
          </w:p>
        </w:tc>
        <w:tc>
          <w:tcPr/>
          <w:p>
            <w:pPr>
              <w:pStyle w:val="Compact"/>
              <w:jc w:val="left"/>
            </w:pPr>
            <w:r>
              <w:t xml:space="preserve">Performance Rating</w:t>
            </w:r>
          </w:p>
        </w:tc>
      </w:tr>
      <w:tr>
        <w:tc>
          <w:tcPr/>
          <w:p>
            <w:pPr>
              <w:pStyle w:val="Compact"/>
              <w:jc w:val="left"/>
            </w:pPr>
            <w:r>
              <w:t xml:space="preserve">Digital Ads (Google, Facebook, LinkedIn)</w:t>
            </w:r>
          </w:p>
        </w:tc>
        <w:tc>
          <w:tcPr/>
          <w:p>
            <w:pPr>
              <w:pStyle w:val="Compact"/>
              <w:jc w:val="left"/>
            </w:pPr>
            <w:r>
              <w:t xml:space="preserve">150</w:t>
            </w:r>
          </w:p>
        </w:tc>
        <w:tc>
          <w:tcPr/>
          <w:p>
            <w:pPr>
              <w:pStyle w:val="Compact"/>
              <w:jc w:val="left"/>
            </w:pPr>
            <w:r>
              <w:t xml:space="preserve">165,000</w:t>
            </w:r>
          </w:p>
        </w:tc>
        <w:tc>
          <w:tcPr/>
          <w:p>
            <w:pPr>
              <w:pStyle w:val="Compact"/>
              <w:jc w:val="left"/>
            </w:pPr>
            <w:r>
              <w:t xml:space="preserve">33,000</w:t>
            </w:r>
          </w:p>
        </w:tc>
        <w:tc>
          <w:tcPr/>
          <w:p>
            <w:pPr>
              <w:pStyle w:val="Compact"/>
              <w:jc w:val="left"/>
            </w:pPr>
            <w:r>
              <w:t xml:space="preserve">4,545</w:t>
            </w:r>
          </w:p>
        </w:tc>
        <w:tc>
          <w:tcPr/>
          <w:p>
            <w:pPr>
              <w:pStyle w:val="Compact"/>
              <w:jc w:val="left"/>
            </w:pPr>
            <w:r>
              <w:t xml:space="preserve">3.28x</w:t>
            </w:r>
          </w:p>
        </w:tc>
        <w:tc>
          <w:tcPr/>
          <w:p>
            <w:pPr>
              <w:pStyle w:val="Compact"/>
              <w:jc w:val="left"/>
            </w:pPr>
            <w:r>
              <w:t xml:space="preserve">Excellent</w:t>
            </w:r>
          </w:p>
        </w:tc>
      </w:tr>
      <w:tr>
        <w:tc>
          <w:tcPr/>
          <w:p>
            <w:pPr>
              <w:pStyle w:val="Compact"/>
              <w:jc w:val="left"/>
            </w:pPr>
            <w:r>
              <w:t xml:space="preserve">Influencer Marketing</w:t>
            </w:r>
          </w:p>
        </w:tc>
        <w:tc>
          <w:tcPr/>
          <w:p>
            <w:pPr>
              <w:pStyle w:val="Compact"/>
              <w:jc w:val="left"/>
            </w:pPr>
            <w:r>
              <w:t xml:space="preserve">52</w:t>
            </w:r>
          </w:p>
        </w:tc>
        <w:tc>
          <w:tcPr/>
          <w:p>
            <w:pPr>
              <w:pStyle w:val="Compact"/>
              <w:jc w:val="left"/>
            </w:pPr>
            <w:r>
              <w:t xml:space="preserve">85,000</w:t>
            </w:r>
          </w:p>
        </w:tc>
        <w:tc>
          <w:tcPr/>
          <w:p>
            <w:pPr>
              <w:pStyle w:val="Compact"/>
              <w:jc w:val="left"/>
            </w:pPr>
            <w:r>
              <w:t xml:space="preserve">10,880</w:t>
            </w:r>
          </w:p>
        </w:tc>
        <w:tc>
          <w:tcPr/>
          <w:p>
            <w:pPr>
              <w:pStyle w:val="Compact"/>
              <w:jc w:val="left"/>
            </w:pPr>
            <w:r>
              <w:t xml:space="preserve">4,779</w:t>
            </w:r>
          </w:p>
        </w:tc>
        <w:tc>
          <w:tcPr/>
          <w:p>
            <w:pPr>
              <w:pStyle w:val="Compact"/>
              <w:jc w:val="left"/>
            </w:pPr>
            <w:r>
              <w:t xml:space="preserve">3.13x</w:t>
            </w:r>
          </w:p>
        </w:tc>
        <w:tc>
          <w:tcPr/>
          <w:p>
            <w:pPr>
              <w:pStyle w:val="Compact"/>
              <w:jc w:val="left"/>
            </w:pPr>
            <w:r>
              <w:t xml:space="preserve">Excellent</w:t>
            </w:r>
          </w:p>
        </w:tc>
      </w:tr>
      <w:tr>
        <w:tc>
          <w:tcPr/>
          <w:p>
            <w:pPr>
              <w:pStyle w:val="Compact"/>
              <w:jc w:val="left"/>
            </w:pPr>
            <w:r>
              <w:t xml:space="preserve">Email Marketing</w:t>
            </w:r>
          </w:p>
        </w:tc>
        <w:tc>
          <w:tcPr/>
          <w:p>
            <w:pPr>
              <w:pStyle w:val="Compact"/>
              <w:jc w:val="left"/>
            </w:pPr>
            <w:r>
              <w:t xml:space="preserve">35</w:t>
            </w:r>
          </w:p>
        </w:tc>
        <w:tc>
          <w:tcPr/>
          <w:p>
            <w:pPr>
              <w:pStyle w:val="Compact"/>
              <w:jc w:val="left"/>
            </w:pPr>
            <w:r>
              <w:t xml:space="preserve">48,500</w:t>
            </w:r>
          </w:p>
        </w:tc>
        <w:tc>
          <w:tcPr/>
          <w:p>
            <w:pPr>
              <w:pStyle w:val="Compact"/>
              <w:jc w:val="left"/>
            </w:pPr>
            <w:r>
              <w:t xml:space="preserve">4,500</w:t>
            </w:r>
          </w:p>
        </w:tc>
        <w:tc>
          <w:tcPr/>
          <w:p>
            <w:pPr>
              <w:pStyle w:val="Compact"/>
              <w:jc w:val="left"/>
            </w:pPr>
            <w:r>
              <w:t xml:space="preserve">7,778</w:t>
            </w:r>
          </w:p>
        </w:tc>
        <w:tc>
          <w:tcPr/>
          <w:p>
            <w:pPr>
              <w:pStyle w:val="Compact"/>
              <w:jc w:val="left"/>
            </w:pPr>
            <w:r>
              <w:t xml:space="preserve">1.93x</w:t>
            </w:r>
          </w:p>
        </w:tc>
        <w:tc>
          <w:tcPr/>
          <w:p>
            <w:pPr>
              <w:pStyle w:val="Compact"/>
              <w:jc w:val="left"/>
            </w:pPr>
            <w:r>
              <w:t xml:space="preserve">Fair</w:t>
            </w:r>
          </w:p>
        </w:tc>
      </w:tr>
      <w:tr>
        <w:tc>
          <w:tcPr/>
          <w:p>
            <w:pPr>
              <w:pStyle w:val="Compact"/>
              <w:jc w:val="left"/>
            </w:pPr>
            <w:r>
              <w:t xml:space="preserve">Paid Search (Google, Bing)</w:t>
            </w:r>
          </w:p>
        </w:tc>
        <w:tc>
          <w:tcPr/>
          <w:p>
            <w:pPr>
              <w:pStyle w:val="Compact"/>
              <w:jc w:val="left"/>
            </w:pPr>
            <w:r>
              <w:t xml:space="preserve">38</w:t>
            </w:r>
          </w:p>
        </w:tc>
        <w:tc>
          <w:tcPr/>
          <w:p>
            <w:pPr>
              <w:pStyle w:val="Compact"/>
              <w:jc w:val="left"/>
            </w:pPr>
            <w:r>
              <w:t xml:space="preserve">52,000</w:t>
            </w:r>
          </w:p>
        </w:tc>
        <w:tc>
          <w:tcPr/>
          <w:p>
            <w:pPr>
              <w:pStyle w:val="Compact"/>
              <w:jc w:val="left"/>
            </w:pPr>
            <w:r>
              <w:t xml:space="preserve">8,960</w:t>
            </w:r>
          </w:p>
        </w:tc>
        <w:tc>
          <w:tcPr/>
          <w:p>
            <w:pPr>
              <w:pStyle w:val="Compact"/>
              <w:jc w:val="left"/>
            </w:pPr>
            <w:r>
              <w:t xml:space="preserve">4,241</w:t>
            </w:r>
          </w:p>
        </w:tc>
        <w:tc>
          <w:tcPr/>
          <w:p>
            <w:pPr>
              <w:pStyle w:val="Compact"/>
              <w:jc w:val="left"/>
            </w:pPr>
            <w:r>
              <w:t xml:space="preserve">3.55x</w:t>
            </w:r>
          </w:p>
        </w:tc>
        <w:tc>
          <w:tcPr/>
          <w:p>
            <w:pPr>
              <w:pStyle w:val="Compact"/>
              <w:jc w:val="left"/>
            </w:pPr>
            <w:r>
              <w:t xml:space="preserve">Excellent</w:t>
            </w:r>
          </w:p>
        </w:tc>
      </w:tr>
      <w:tr>
        <w:tc>
          <w:tcPr/>
          <w:p>
            <w:pPr>
              <w:pStyle w:val="Compact"/>
              <w:jc w:val="left"/>
            </w:pPr>
            <w:r>
              <w:t xml:space="preserve">Content &amp; Webinars</w:t>
            </w:r>
          </w:p>
        </w:tc>
        <w:tc>
          <w:tcPr/>
          <w:p>
            <w:pPr>
              <w:pStyle w:val="Compact"/>
              <w:jc w:val="left"/>
            </w:pPr>
            <w:r>
              <w:t xml:space="preserve">22</w:t>
            </w:r>
          </w:p>
        </w:tc>
        <w:tc>
          <w:tcPr/>
          <w:p>
            <w:pPr>
              <w:pStyle w:val="Compact"/>
              <w:jc w:val="left"/>
            </w:pPr>
            <w:r>
              <w:t xml:space="preserve">22,500</w:t>
            </w:r>
          </w:p>
        </w:tc>
        <w:tc>
          <w:tcPr/>
          <w:p>
            <w:pPr>
              <w:pStyle w:val="Compact"/>
              <w:jc w:val="left"/>
            </w:pPr>
            <w:r>
              <w:t xml:space="preserve">3,720</w:t>
            </w:r>
          </w:p>
        </w:tc>
        <w:tc>
          <w:tcPr/>
          <w:p>
            <w:pPr>
              <w:pStyle w:val="Compact"/>
              <w:jc w:val="left"/>
            </w:pPr>
            <w:r>
              <w:t xml:space="preserve">5,914</w:t>
            </w:r>
          </w:p>
        </w:tc>
        <w:tc>
          <w:tcPr/>
          <w:p>
            <w:pPr>
              <w:pStyle w:val="Compact"/>
              <w:jc w:val="left"/>
            </w:pPr>
            <w:r>
              <w:t xml:space="preserve">2.55x</w:t>
            </w:r>
          </w:p>
        </w:tc>
        <w:tc>
          <w:tcPr/>
          <w:p>
            <w:pPr>
              <w:pStyle w:val="Compact"/>
              <w:jc w:val="left"/>
            </w:pPr>
            <w:r>
              <w:t xml:space="preserve">Good</w:t>
            </w:r>
          </w:p>
        </w:tc>
      </w:tr>
      <w:tr>
        <w:tc>
          <w:tcPr/>
          <w:p>
            <w:pPr>
              <w:pStyle w:val="Compact"/>
              <w:jc w:val="left"/>
            </w:pPr>
            <w:r>
              <w:t xml:space="preserve">Local Partnerships</w:t>
            </w:r>
          </w:p>
        </w:tc>
        <w:tc>
          <w:tcPr/>
          <w:p>
            <w:pPr>
              <w:pStyle w:val="Compact"/>
              <w:jc w:val="left"/>
            </w:pPr>
            <w:r>
              <w:t xml:space="preserve">28</w:t>
            </w:r>
          </w:p>
        </w:tc>
        <w:tc>
          <w:tcPr/>
          <w:p>
            <w:pPr>
              <w:pStyle w:val="Compact"/>
              <w:jc w:val="left"/>
            </w:pPr>
            <w:r>
              <w:t xml:space="preserve">18,000</w:t>
            </w:r>
          </w:p>
        </w:tc>
        <w:tc>
          <w:tcPr/>
          <w:p>
            <w:pPr>
              <w:pStyle w:val="Compact"/>
              <w:jc w:val="left"/>
            </w:pPr>
            <w:r>
              <w:t xml:space="preserve">2,500</w:t>
            </w:r>
          </w:p>
        </w:tc>
        <w:tc>
          <w:tcPr/>
          <w:p>
            <w:pPr>
              <w:pStyle w:val="Compact"/>
              <w:jc w:val="left"/>
            </w:pPr>
            <w:r>
              <w:t xml:space="preserve">11,200</w:t>
            </w:r>
          </w:p>
        </w:tc>
        <w:tc>
          <w:tcPr/>
          <w:p>
            <w:pPr>
              <w:pStyle w:val="Compact"/>
              <w:jc w:val="left"/>
            </w:pPr>
            <w:r>
              <w:t xml:space="preserve">1.34x</w:t>
            </w:r>
          </w:p>
        </w:tc>
        <w:tc>
          <w:tcPr/>
          <w:p>
            <w:pPr>
              <w:pStyle w:val="Compact"/>
              <w:jc w:val="left"/>
            </w:pPr>
            <w:r>
              <w:t xml:space="preserve">Poor</w:t>
            </w:r>
          </w:p>
        </w:tc>
      </w:tr>
      <w:tr>
        <w:tc>
          <w:tcPr/>
          <w:p>
            <w:pPr>
              <w:pStyle w:val="Compact"/>
              <w:jc w:val="left"/>
            </w:pPr>
            <w:r>
              <w:t xml:space="preserve">Organic Social</w:t>
            </w:r>
          </w:p>
        </w:tc>
        <w:tc>
          <w:tcPr/>
          <w:p>
            <w:pPr>
              <w:pStyle w:val="Compact"/>
              <w:jc w:val="left"/>
            </w:pPr>
            <w:r>
              <w:t xml:space="preserve">2</w:t>
            </w:r>
          </w:p>
        </w:tc>
        <w:tc>
          <w:tcPr/>
          <w:p>
            <w:pPr>
              <w:pStyle w:val="Compact"/>
              <w:jc w:val="left"/>
            </w:pPr>
            <w:r>
              <w:t xml:space="preserve">15,000</w:t>
            </w:r>
          </w:p>
        </w:tc>
        <w:tc>
          <w:tcPr/>
          <w:p>
            <w:pPr>
              <w:pStyle w:val="Compact"/>
              <w:jc w:val="left"/>
            </w:pPr>
            <w:r>
              <w:t xml:space="preserve">1,710</w:t>
            </w:r>
          </w:p>
        </w:tc>
        <w:tc>
          <w:tcPr/>
          <w:p>
            <w:pPr>
              <w:pStyle w:val="Compact"/>
              <w:jc w:val="left"/>
            </w:pPr>
            <w:r>
              <w:t xml:space="preserve">1,170</w:t>
            </w:r>
          </w:p>
        </w:tc>
        <w:tc>
          <w:tcPr/>
          <w:p>
            <w:pPr>
              <w:pStyle w:val="Compact"/>
              <w:jc w:val="left"/>
            </w:pPr>
            <w:r>
              <w:t xml:space="preserve">Organic</w:t>
            </w:r>
          </w:p>
        </w:tc>
        <w:tc>
          <w:tcPr/>
          <w:p>
            <w:pPr>
              <w:pStyle w:val="Compact"/>
              <w:jc w:val="left"/>
            </w:pPr>
            <w:r>
              <w:t xml:space="preserve">Good</w:t>
            </w:r>
          </w:p>
        </w:tc>
      </w:tr>
    </w:tbl>
    <w:p>
      <w:pPr>
        <w:pStyle w:val="BodyText"/>
      </w:pPr>
      <w:r>
        <w:rPr>
          <w:b/>
          <w:bCs/>
        </w:rPr>
        <w:t xml:space="preserve">Note:</w:t>
      </w:r>
      <w:r>
        <w:t xml:space="preserve"> </w:t>
      </w:r>
      <w:r>
        <w:t xml:space="preserve">Local partnerships underperformed; recommend renegotiating terms or pivoting strategy for Q3.</w:t>
      </w:r>
    </w:p>
    <w:p>
      <w:r>
        <w:pict>
          <v:rect style="width:0;height:1.5pt" o:hralign="center" o:hrstd="t" o:hr="t"/>
        </w:pict>
      </w:r>
    </w:p>
    <w:bookmarkEnd w:id="23"/>
    <w:bookmarkStart w:id="24" w:name="social-media-metrics"/>
    <w:p>
      <w:pPr>
        <w:pStyle w:val="Heading2"/>
      </w:pPr>
      <w:r>
        <w:t xml:space="preserve">Social Media Metrics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Platform</w:t>
            </w:r>
          </w:p>
        </w:tc>
        <w:tc>
          <w:tcPr/>
          <w:p>
            <w:pPr>
              <w:pStyle w:val="Compact"/>
              <w:jc w:val="left"/>
            </w:pPr>
            <w:r>
              <w:t xml:space="preserve">Q2 Start Followers</w:t>
            </w:r>
          </w:p>
        </w:tc>
        <w:tc>
          <w:tcPr/>
          <w:p>
            <w:pPr>
              <w:pStyle w:val="Compact"/>
              <w:jc w:val="left"/>
            </w:pPr>
            <w:r>
              <w:t xml:space="preserve">Q2 End Followers</w:t>
            </w:r>
          </w:p>
        </w:tc>
        <w:tc>
          <w:tcPr/>
          <w:p>
            <w:pPr>
              <w:pStyle w:val="Compact"/>
              <w:jc w:val="left"/>
            </w:pPr>
            <w:r>
              <w:t xml:space="preserve">Engagement Rate</w:t>
            </w:r>
          </w:p>
        </w:tc>
        <w:tc>
          <w:tcPr/>
          <w:p>
            <w:pPr>
              <w:pStyle w:val="Compact"/>
              <w:jc w:val="left"/>
            </w:pPr>
            <w:r>
              <w:t xml:space="preserve">Avg Impressions/Post</w:t>
            </w:r>
          </w:p>
        </w:tc>
        <w:tc>
          <w:tcPr/>
          <w:p>
            <w:pPr>
              <w:pStyle w:val="Compact"/>
              <w:jc w:val="left"/>
            </w:pPr>
            <w:r>
              <w:t xml:space="preserve">Click-through Rate</w:t>
            </w:r>
          </w:p>
        </w:tc>
        <w:tc>
          <w:tcPr/>
          <w:p>
            <w:pPr>
              <w:pStyle w:val="Compact"/>
              <w:jc w:val="left"/>
            </w:pPr>
            <w:r>
              <w:t xml:space="preserve">Notable Growth</w:t>
            </w:r>
          </w:p>
        </w:tc>
      </w:tr>
      <w:tr>
        <w:tc>
          <w:tcPr/>
          <w:p>
            <w:pPr>
              <w:pStyle w:val="Compact"/>
              <w:jc w:val="left"/>
            </w:pPr>
            <w:r>
              <w:t xml:space="preserve">LinkedIn</w:t>
            </w:r>
          </w:p>
        </w:tc>
        <w:tc>
          <w:tcPr/>
          <w:p>
            <w:pPr>
              <w:pStyle w:val="Compact"/>
              <w:jc w:val="left"/>
            </w:pPr>
            <w:r>
              <w:t xml:space="preserve">185,400</w:t>
            </w:r>
          </w:p>
        </w:tc>
        <w:tc>
          <w:tcPr/>
          <w:p>
            <w:pPr>
              <w:pStyle w:val="Compact"/>
              <w:jc w:val="left"/>
            </w:pPr>
            <w:r>
              <w:t xml:space="preserve">248,900</w:t>
            </w:r>
          </w:p>
        </w:tc>
        <w:tc>
          <w:tcPr/>
          <w:p>
            <w:pPr>
              <w:pStyle w:val="Compact"/>
              <w:jc w:val="left"/>
            </w:pPr>
            <w:r>
              <w:t xml:space="preserve">5.4%</w:t>
            </w:r>
          </w:p>
        </w:tc>
        <w:tc>
          <w:tcPr/>
          <w:p>
            <w:pPr>
              <w:pStyle w:val="Compact"/>
              <w:jc w:val="left"/>
            </w:pPr>
            <w:r>
              <w:t xml:space="preserve">35,200</w:t>
            </w:r>
          </w:p>
        </w:tc>
        <w:tc>
          <w:tcPr/>
          <w:p>
            <w:pPr>
              <w:pStyle w:val="Compact"/>
              <w:jc w:val="left"/>
            </w:pPr>
            <w:r>
              <w:t xml:space="preserve">2.6%</w:t>
            </w:r>
          </w:p>
        </w:tc>
        <w:tc>
          <w:tcPr/>
          <w:p>
            <w:pPr>
              <w:pStyle w:val="Compact"/>
              <w:jc w:val="left"/>
            </w:pPr>
            <w:r>
              <w:t xml:space="preserve">+63,500 followers (+34.3%)</w:t>
            </w:r>
          </w:p>
        </w:tc>
      </w:tr>
      <w:tr>
        <w:tc>
          <w:tcPr/>
          <w:p>
            <w:pPr>
              <w:pStyle w:val="Compact"/>
              <w:jc w:val="left"/>
            </w:pPr>
            <w:r>
              <w:t xml:space="preserve">Instagram</w:t>
            </w:r>
          </w:p>
        </w:tc>
        <w:tc>
          <w:tcPr/>
          <w:p>
            <w:pPr>
              <w:pStyle w:val="Compact"/>
              <w:jc w:val="left"/>
            </w:pPr>
            <w:r>
              <w:t xml:space="preserve">124,800</w:t>
            </w:r>
          </w:p>
        </w:tc>
        <w:tc>
          <w:tcPr/>
          <w:p>
            <w:pPr>
              <w:pStyle w:val="Compact"/>
              <w:jc w:val="left"/>
            </w:pPr>
            <w:r>
              <w:t xml:space="preserve">182,500</w:t>
            </w:r>
          </w:p>
        </w:tc>
        <w:tc>
          <w:tcPr/>
          <w:p>
            <w:pPr>
              <w:pStyle w:val="Compact"/>
              <w:jc w:val="left"/>
            </w:pPr>
            <w:r>
              <w:t xml:space="preserve">7.8%</w:t>
            </w:r>
          </w:p>
        </w:tc>
        <w:tc>
          <w:tcPr/>
          <w:p>
            <w:pPr>
              <w:pStyle w:val="Compact"/>
              <w:jc w:val="left"/>
            </w:pPr>
            <w:r>
              <w:t xml:space="preserve">28,900</w:t>
            </w:r>
          </w:p>
        </w:tc>
        <w:tc>
          <w:tcPr/>
          <w:p>
            <w:pPr>
              <w:pStyle w:val="Compact"/>
              <w:jc w:val="left"/>
            </w:pPr>
            <w:r>
              <w:t xml:space="preserve">3.4%</w:t>
            </w:r>
          </w:p>
        </w:tc>
        <w:tc>
          <w:tcPr/>
          <w:p>
            <w:pPr>
              <w:pStyle w:val="Compact"/>
              <w:jc w:val="left"/>
            </w:pPr>
            <w:r>
              <w:t xml:space="preserve">+57,700 followers (+46.2%)</w:t>
            </w:r>
          </w:p>
        </w:tc>
      </w:tr>
      <w:tr>
        <w:tc>
          <w:tcPr/>
          <w:p>
            <w:pPr>
              <w:pStyle w:val="Compact"/>
              <w:jc w:val="left"/>
            </w:pPr>
            <w:r>
              <w:t xml:space="preserve">Twitter</w:t>
            </w:r>
          </w:p>
        </w:tc>
        <w:tc>
          <w:tcPr/>
          <w:p>
            <w:pPr>
              <w:pStyle w:val="Compact"/>
              <w:jc w:val="left"/>
            </w:pPr>
            <w:r>
              <w:t xml:space="preserve">68,900</w:t>
            </w:r>
          </w:p>
        </w:tc>
        <w:tc>
          <w:tcPr/>
          <w:p>
            <w:pPr>
              <w:pStyle w:val="Compact"/>
              <w:jc w:val="left"/>
            </w:pPr>
            <w:r>
              <w:t xml:space="preserve">95,300</w:t>
            </w:r>
          </w:p>
        </w:tc>
        <w:tc>
          <w:tcPr/>
          <w:p>
            <w:pPr>
              <w:pStyle w:val="Compact"/>
              <w:jc w:val="left"/>
            </w:pPr>
            <w:r>
              <w:t xml:space="preserve">4.1%</w:t>
            </w:r>
          </w:p>
        </w:tc>
        <w:tc>
          <w:tcPr/>
          <w:p>
            <w:pPr>
              <w:pStyle w:val="Compact"/>
              <w:jc w:val="left"/>
            </w:pPr>
            <w:r>
              <w:t xml:space="preserve">18,500</w:t>
            </w:r>
          </w:p>
        </w:tc>
        <w:tc>
          <w:tcPr/>
          <w:p>
            <w:pPr>
              <w:pStyle w:val="Compact"/>
              <w:jc w:val="left"/>
            </w:pPr>
            <w:r>
              <w:t xml:space="preserve">2.2%</w:t>
            </w:r>
          </w:p>
        </w:tc>
        <w:tc>
          <w:tcPr/>
          <w:p>
            <w:pPr>
              <w:pStyle w:val="Compact"/>
              <w:jc w:val="left"/>
            </w:pPr>
            <w:r>
              <w:t xml:space="preserve">+26,400 followers (+38.3%)</w:t>
            </w:r>
          </w:p>
        </w:tc>
      </w:tr>
      <w:tr>
        <w:tc>
          <w:tcPr/>
          <w:p>
            <w:pPr>
              <w:pStyle w:val="Compact"/>
              <w:jc w:val="left"/>
            </w:pPr>
            <w:r>
              <w:t xml:space="preserve">Facebook</w:t>
            </w:r>
          </w:p>
        </w:tc>
        <w:tc>
          <w:tcPr/>
          <w:p>
            <w:pPr>
              <w:pStyle w:val="Compact"/>
              <w:jc w:val="left"/>
            </w:pPr>
            <w:r>
              <w:t xml:space="preserve">151,600</w:t>
            </w:r>
          </w:p>
        </w:tc>
        <w:tc>
          <w:tcPr/>
          <w:p>
            <w:pPr>
              <w:pStyle w:val="Compact"/>
              <w:jc w:val="left"/>
            </w:pPr>
            <w:r>
              <w:t xml:space="preserve">188,400</w:t>
            </w:r>
          </w:p>
        </w:tc>
        <w:tc>
          <w:tcPr/>
          <w:p>
            <w:pPr>
              <w:pStyle w:val="Compact"/>
              <w:jc w:val="left"/>
            </w:pPr>
            <w:r>
              <w:t xml:space="preserve">3.8%</w:t>
            </w:r>
          </w:p>
        </w:tc>
        <w:tc>
          <w:tcPr/>
          <w:p>
            <w:pPr>
              <w:pStyle w:val="Compact"/>
              <w:jc w:val="left"/>
            </w:pPr>
            <w:r>
              <w:t xml:space="preserve">21,200</w:t>
            </w:r>
          </w:p>
        </w:tc>
        <w:tc>
          <w:tcPr/>
          <w:p>
            <w:pPr>
              <w:pStyle w:val="Compact"/>
              <w:jc w:val="left"/>
            </w:pPr>
            <w:r>
              <w:t xml:space="preserve">1.4%</w:t>
            </w:r>
          </w:p>
        </w:tc>
        <w:tc>
          <w:tcPr/>
          <w:p>
            <w:pPr>
              <w:pStyle w:val="Compact"/>
              <w:jc w:val="left"/>
            </w:pPr>
            <w:r>
              <w:t xml:space="preserve">+36,800 followers (+24.3%)</w:t>
            </w:r>
          </w:p>
        </w:tc>
      </w:tr>
      <w:tr>
        <w:tc>
          <w:tcPr/>
          <w:p>
            <w:pPr>
              <w:pStyle w:val="Compact"/>
              <w:jc w:val="left"/>
            </w:pPr>
            <w:r>
              <w:t xml:space="preserve">YouTube</w:t>
            </w:r>
          </w:p>
        </w:tc>
        <w:tc>
          <w:tcPr/>
          <w:p>
            <w:pPr>
              <w:pStyle w:val="Compact"/>
              <w:jc w:val="left"/>
            </w:pPr>
            <w:r>
              <w:t xml:space="preserve">48,100</w:t>
            </w:r>
          </w:p>
        </w:tc>
        <w:tc>
          <w:tcPr/>
          <w:p>
            <w:pPr>
              <w:pStyle w:val="Compact"/>
              <w:jc w:val="left"/>
            </w:pPr>
            <w:r>
              <w:t xml:space="preserve">78,500</w:t>
            </w:r>
          </w:p>
        </w:tc>
        <w:tc>
          <w:tcPr/>
          <w:p>
            <w:pPr>
              <w:pStyle w:val="Compact"/>
              <w:jc w:val="left"/>
            </w:pPr>
            <w:r>
              <w:t xml:space="preserve">9.8%</w:t>
            </w:r>
          </w:p>
        </w:tc>
        <w:tc>
          <w:tcPr/>
          <w:p>
            <w:pPr>
              <w:pStyle w:val="Compact"/>
              <w:jc w:val="left"/>
            </w:pPr>
            <w:r>
              <w:t xml:space="preserve">54,600</w:t>
            </w:r>
          </w:p>
        </w:tc>
        <w:tc>
          <w:tcPr/>
          <w:p>
            <w:pPr>
              <w:pStyle w:val="Compact"/>
              <w:jc w:val="left"/>
            </w:pPr>
            <w:r>
              <w:t xml:space="preserve">4.2%</w:t>
            </w:r>
          </w:p>
        </w:tc>
        <w:tc>
          <w:tcPr/>
          <w:p>
            <w:pPr>
              <w:pStyle w:val="Compact"/>
              <w:jc w:val="left"/>
            </w:pPr>
            <w:r>
              <w:t xml:space="preserve">+30,400 followers (+63.2%)</w:t>
            </w:r>
          </w:p>
        </w:tc>
      </w:tr>
      <w:tr>
        <w:tc>
          <w:tcPr/>
          <w:p>
            <w:pPr>
              <w:pStyle w:val="Compact"/>
              <w:jc w:val="left"/>
            </w:pPr>
            <w:r>
              <w:t xml:space="preserve">TikTok (New)</w:t>
            </w:r>
          </w:p>
        </w:tc>
        <w:tc>
          <w:tcPr/>
          <w:p>
            <w:pPr>
              <w:pStyle w:val="Compact"/>
              <w:jc w:val="left"/>
            </w:pPr>
            <w:r>
              <w:t xml:space="preserve">0</w:t>
            </w:r>
          </w:p>
        </w:tc>
        <w:tc>
          <w:tcPr/>
          <w:p>
            <w:pPr>
              <w:pStyle w:val="Compact"/>
              <w:jc w:val="left"/>
            </w:pPr>
            <w:r>
              <w:t xml:space="preserve">35,200</w:t>
            </w:r>
          </w:p>
        </w:tc>
        <w:tc>
          <w:tcPr/>
          <w:p>
            <w:pPr>
              <w:pStyle w:val="Compact"/>
              <w:jc w:val="left"/>
            </w:pPr>
            <w:r>
              <w:t xml:space="preserve">12.4%</w:t>
            </w:r>
          </w:p>
        </w:tc>
        <w:tc>
          <w:tcPr/>
          <w:p>
            <w:pPr>
              <w:pStyle w:val="Compact"/>
              <w:jc w:val="left"/>
            </w:pPr>
            <w:r>
              <w:t xml:space="preserve">42,100</w:t>
            </w:r>
          </w:p>
        </w:tc>
        <w:tc>
          <w:tcPr/>
          <w:p>
            <w:pPr>
              <w:pStyle w:val="Compact"/>
              <w:jc w:val="left"/>
            </w:pPr>
            <w:r>
              <w:t xml:space="preserve">5.8%</w:t>
            </w:r>
          </w:p>
        </w:tc>
        <w:tc>
          <w:tcPr/>
          <w:p>
            <w:pPr>
              <w:pStyle w:val="Compact"/>
              <w:jc w:val="left"/>
            </w:pPr>
            <w:r>
              <w:t xml:space="preserve">New platform launch</w:t>
            </w:r>
          </w:p>
        </w:tc>
      </w:tr>
    </w:tbl>
    <w:p>
      <w:pPr>
        <w:pStyle w:val="BodyText"/>
      </w:pPr>
      <w:r>
        <w:rPr>
          <w:b/>
          <w:bCs/>
        </w:rPr>
        <w:t xml:space="preserve">Influencer Highlights:</w:t>
      </w:r>
      <w:r>
        <w:t xml:space="preserve"> </w:t>
      </w:r>
      <w:r>
        <w:t xml:space="preserve">- 18 micro-influencers engaged across Instagram/TikTok/LinkedIn</w:t>
      </w:r>
      <w:r>
        <w:t xml:space="preserve"> </w:t>
      </w:r>
      <w:r>
        <w:t xml:space="preserve">- 8.2M combined reach</w:t>
      </w:r>
      <w:r>
        <w:t xml:space="preserve"> </w:t>
      </w:r>
      <w:r>
        <w:t xml:space="preserve">- Average post performance: 6.8% engagement rate (vs. 4.2% brand average)</w:t>
      </w:r>
      <w:r>
        <w:t xml:space="preserve"> </w:t>
      </w:r>
      <w:r>
        <w:t xml:space="preserve">- 3 mega-influencer partnerships under negotiation for Q3</w:t>
      </w:r>
    </w:p>
    <w:p>
      <w:r>
        <w:pict>
          <v:rect style="width:0;height:1.5pt" o:hralign="center" o:hrstd="t" o:hr="t"/>
        </w:pict>
      </w:r>
    </w:p>
    <w:bookmarkEnd w:id="24"/>
    <w:bookmarkStart w:id="25" w:name="customer-acquisition-funnel---q2-2024"/>
    <w:p>
      <w:pPr>
        <w:pStyle w:val="Heading2"/>
      </w:pPr>
      <w:r>
        <w:t xml:space="preserve">Customer Acquisition Funnel - Q2 2024</w:t>
      </w:r>
    </w:p>
    <w:p>
      <w:pPr>
        <w:pStyle w:val="FirstParagraph"/>
      </w:pPr>
      <w:r>
        <w:rPr>
          <w:b/>
          <w:bCs/>
        </w:rPr>
        <w:t xml:space="preserve">Total Addressable Reach: 12.21 Million impressions across all channels</w:t>
      </w:r>
    </w:p>
    <w:p>
      <w:pPr>
        <w:pStyle w:val="SourceCode"/>
      </w:pPr>
      <w:r>
        <w:rPr>
          <w:rStyle w:val="VerbatimChar"/>
        </w:rPr>
        <w:t xml:space="preserve">Stage                    Volume          % of Previous    Drop-off Rate</w:t>
      </w:r>
      <w:r>
        <w:br/>
      </w:r>
      <w:r>
        <w:rPr>
          <w:rStyle w:val="VerbatimChar"/>
        </w:rPr>
        <w:t xml:space="preserve">─────────────────────────────────────────────────────────────</w:t>
      </w:r>
      <w:r>
        <w:br/>
      </w:r>
      <w:r>
        <w:rPr>
          <w:rStyle w:val="VerbatimChar"/>
        </w:rPr>
        <w:t xml:space="preserve">Awareness                12,210,000      -                -</w:t>
      </w:r>
      <w:r>
        <w:br/>
      </w:r>
      <w:r>
        <w:rPr>
          <w:rStyle w:val="VerbatimChar"/>
        </w:rPr>
        <w:t xml:space="preserve">Interest (Clicks)        283,760         2.3%             97.7%</w:t>
      </w:r>
      <w:r>
        <w:br/>
      </w:r>
      <w:r>
        <w:rPr>
          <w:rStyle w:val="VerbatimChar"/>
        </w:rPr>
        <w:t xml:space="preserve">Consideration (Leads)    185,000         65.1%            34.9%</w:t>
      </w:r>
      <w:r>
        <w:br/>
      </w:r>
      <w:r>
        <w:rPr>
          <w:rStyle w:val="VerbatimChar"/>
        </w:rPr>
        <w:t xml:space="preserve">Conversion (Signup)      52,850          28.6%            71.4%</w:t>
      </w:r>
      <w:r>
        <w:br/>
      </w:r>
      <w:r>
        <w:rPr>
          <w:rStyle w:val="VerbatimChar"/>
        </w:rPr>
        <w:t xml:space="preserve">Active Users (30-day)    48,400          91.6%            8.4%</w:t>
      </w:r>
      <w:r>
        <w:br/>
      </w:r>
      <w:r>
        <w:rPr>
          <w:rStyle w:val="VerbatimChar"/>
        </w:rPr>
        <w:t xml:space="preserve">B2B Qualified Leads      285             0.5%             99.5%</w:t>
      </w:r>
    </w:p>
    <w:p>
      <w:pPr>
        <w:pStyle w:val="FirstParagraph"/>
      </w:pPr>
      <w:r>
        <w:rPr>
          <w:b/>
          <w:bCs/>
        </w:rPr>
        <w:t xml:space="preserve">Key Insight:</w:t>
      </w:r>
      <w:r>
        <w:t xml:space="preserve"> </w:t>
      </w:r>
      <w:r>
        <w:t xml:space="preserve">Consideration-to-conversion improved to 71.4% (vs. 65.9% in Q1), indicating better onboarding. B2B conversion isolated to show enterprise segment penetration.</w:t>
      </w:r>
    </w:p>
    <w:p>
      <w:r>
        <w:pict>
          <v:rect style="width:0;height:1.5pt" o:hralign="center" o:hrstd="t" o:hr="t"/>
        </w:pict>
      </w:r>
    </w:p>
    <w:bookmarkEnd w:id="25"/>
    <w:bookmarkStart w:id="26" w:name="geographic-performance"/>
    <w:p>
      <w:pPr>
        <w:pStyle w:val="Heading2"/>
      </w:pPr>
      <w:r>
        <w:t xml:space="preserve">Geographic Performance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Region</w:t>
            </w:r>
          </w:p>
        </w:tc>
        <w:tc>
          <w:tcPr/>
          <w:p>
            <w:pPr>
              <w:pStyle w:val="Compact"/>
              <w:jc w:val="left"/>
            </w:pPr>
            <w:r>
              <w:t xml:space="preserve">Budget (₹L)</w:t>
            </w:r>
          </w:p>
        </w:tc>
        <w:tc>
          <w:tcPr/>
          <w:p>
            <w:pPr>
              <w:pStyle w:val="Compact"/>
              <w:jc w:val="left"/>
            </w:pPr>
            <w:r>
              <w:t xml:space="preserve">Customers Acquired</w:t>
            </w:r>
          </w:p>
        </w:tc>
        <w:tc>
          <w:tcPr/>
          <w:p>
            <w:pPr>
              <w:pStyle w:val="Compact"/>
              <w:jc w:val="left"/>
            </w:pPr>
            <w:r>
              <w:t xml:space="preserve">Revenue (₹L)</w:t>
            </w:r>
          </w:p>
        </w:tc>
        <w:tc>
          <w:tcPr/>
          <w:p>
            <w:pPr>
              <w:pStyle w:val="Compact"/>
              <w:jc w:val="left"/>
            </w:pPr>
            <w:r>
              <w:t xml:space="preserve">Market Share Notes</w:t>
            </w:r>
          </w:p>
        </w:tc>
      </w:tr>
      <w:tr>
        <w:tc>
          <w:tcPr/>
          <w:p>
            <w:pPr>
              <w:pStyle w:val="Compact"/>
              <w:jc w:val="left"/>
            </w:pPr>
            <w:r>
              <w:t xml:space="preserve">Singapore (New)</w:t>
            </w:r>
          </w:p>
        </w:tc>
        <w:tc>
          <w:tcPr/>
          <w:p>
            <w:pPr>
              <w:pStyle w:val="Compact"/>
              <w:jc w:val="left"/>
            </w:pPr>
            <w:r>
              <w:t xml:space="preserve">28</w:t>
            </w:r>
          </w:p>
        </w:tc>
        <w:tc>
          <w:tcPr/>
          <w:p>
            <w:pPr>
              <w:pStyle w:val="Compact"/>
              <w:jc w:val="left"/>
            </w:pPr>
            <w:r>
              <w:t xml:space="preserve">18,500</w:t>
            </w:r>
          </w:p>
        </w:tc>
        <w:tc>
          <w:tcPr/>
          <w:p>
            <w:pPr>
              <w:pStyle w:val="Compact"/>
              <w:jc w:val="left"/>
            </w:pPr>
            <w:r>
              <w:t xml:space="preserve">18.5</w:t>
            </w:r>
          </w:p>
        </w:tc>
        <w:tc>
          <w:tcPr/>
          <w:p>
            <w:pPr>
              <w:pStyle w:val="Compact"/>
              <w:jc w:val="left"/>
            </w:pPr>
            <w:r>
              <w:t xml:space="preserve">Strong adoption; tech-savvy demographic</w:t>
            </w:r>
          </w:p>
        </w:tc>
      </w:tr>
      <w:tr>
        <w:tc>
          <w:tcPr/>
          <w:p>
            <w:pPr>
              <w:pStyle w:val="Compact"/>
              <w:jc w:val="left"/>
            </w:pPr>
            <w:r>
              <w:t xml:space="preserve">Malaysia (New)</w:t>
            </w:r>
          </w:p>
        </w:tc>
        <w:tc>
          <w:tcPr/>
          <w:p>
            <w:pPr>
              <w:pStyle w:val="Compact"/>
              <w:jc w:val="left"/>
            </w:pPr>
            <w:r>
              <w:t xml:space="preserve">22</w:t>
            </w:r>
          </w:p>
        </w:tc>
        <w:tc>
          <w:tcPr/>
          <w:p>
            <w:pPr>
              <w:pStyle w:val="Compact"/>
              <w:jc w:val="left"/>
            </w:pPr>
            <w:r>
              <w:t xml:space="preserve">14,200</w:t>
            </w:r>
          </w:p>
        </w:tc>
        <w:tc>
          <w:tcPr/>
          <w:p>
            <w:pPr>
              <w:pStyle w:val="Compact"/>
              <w:jc w:val="left"/>
            </w:pPr>
            <w:r>
              <w:t xml:space="preserve">14.2</w:t>
            </w:r>
          </w:p>
        </w:tc>
        <w:tc>
          <w:tcPr/>
          <w:p>
            <w:pPr>
              <w:pStyle w:val="Compact"/>
              <w:jc w:val="left"/>
            </w:pPr>
            <w:r>
              <w:t xml:space="preserve">Good initial traction; regulatory clarity strong</w:t>
            </w:r>
          </w:p>
        </w:tc>
      </w:tr>
      <w:tr>
        <w:tc>
          <w:tcPr/>
          <w:p>
            <w:pPr>
              <w:pStyle w:val="Compact"/>
              <w:jc w:val="left"/>
            </w:pPr>
            <w:r>
              <w:t xml:space="preserve">Thailand (New)</w:t>
            </w:r>
          </w:p>
        </w:tc>
        <w:tc>
          <w:tcPr/>
          <w:p>
            <w:pPr>
              <w:pStyle w:val="Compact"/>
              <w:jc w:val="left"/>
            </w:pPr>
            <w:r>
              <w:t xml:space="preserve">12</w:t>
            </w:r>
          </w:p>
        </w:tc>
        <w:tc>
          <w:tcPr/>
          <w:p>
            <w:pPr>
              <w:pStyle w:val="Compact"/>
              <w:jc w:val="left"/>
            </w:pPr>
            <w:r>
              <w:t xml:space="preserve">7,800</w:t>
            </w:r>
          </w:p>
        </w:tc>
        <w:tc>
          <w:tcPr/>
          <w:p>
            <w:pPr>
              <w:pStyle w:val="Compact"/>
              <w:jc w:val="left"/>
            </w:pPr>
            <w:r>
              <w:t xml:space="preserve">7.8</w:t>
            </w:r>
          </w:p>
        </w:tc>
        <w:tc>
          <w:tcPr/>
          <w:p>
            <w:pPr>
              <w:pStyle w:val="Compact"/>
              <w:jc w:val="left"/>
            </w:pPr>
            <w:r>
              <w:t xml:space="preserve">Pilot phase; education needed on fintech</w:t>
            </w:r>
          </w:p>
        </w:tc>
      </w:tr>
      <w:tr>
        <w:tc>
          <w:tcPr/>
          <w:p>
            <w:pPr>
              <w:pStyle w:val="Compact"/>
              <w:jc w:val="left"/>
            </w:pPr>
            <w:r>
              <w:t xml:space="preserve">United Kingdom</w:t>
            </w:r>
          </w:p>
        </w:tc>
        <w:tc>
          <w:tcPr/>
          <w:p>
            <w:pPr>
              <w:pStyle w:val="Compact"/>
              <w:jc w:val="left"/>
            </w:pPr>
            <w:r>
              <w:t xml:space="preserve">35</w:t>
            </w:r>
          </w:p>
        </w:tc>
        <w:tc>
          <w:tcPr/>
          <w:p>
            <w:pPr>
              <w:pStyle w:val="Compact"/>
              <w:jc w:val="left"/>
            </w:pPr>
            <w:r>
              <w:t xml:space="preserve">42,300</w:t>
            </w:r>
          </w:p>
        </w:tc>
        <w:tc>
          <w:tcPr/>
          <w:p>
            <w:pPr>
              <w:pStyle w:val="Compact"/>
              <w:jc w:val="left"/>
            </w:pPr>
            <w:r>
              <w:t xml:space="preserve">38.1</w:t>
            </w:r>
          </w:p>
        </w:tc>
        <w:tc>
          <w:tcPr/>
          <w:p>
            <w:pPr>
              <w:pStyle w:val="Compact"/>
              <w:jc w:val="left"/>
            </w:pPr>
            <w:r>
              <w:t xml:space="preserve">Continued growth; mature market</w:t>
            </w:r>
          </w:p>
        </w:tc>
      </w:tr>
      <w:tr>
        <w:tc>
          <w:tcPr/>
          <w:p>
            <w:pPr>
              <w:pStyle w:val="Compact"/>
              <w:jc w:val="left"/>
            </w:pPr>
            <w:r>
              <w:t xml:space="preserve">Germany</w:t>
            </w:r>
          </w:p>
        </w:tc>
        <w:tc>
          <w:tcPr/>
          <w:p>
            <w:pPr>
              <w:pStyle w:val="Compact"/>
              <w:jc w:val="left"/>
            </w:pPr>
            <w:r>
              <w:t xml:space="preserve">28</w:t>
            </w:r>
          </w:p>
        </w:tc>
        <w:tc>
          <w:tcPr/>
          <w:p>
            <w:pPr>
              <w:pStyle w:val="Compact"/>
              <w:jc w:val="left"/>
            </w:pPr>
            <w:r>
              <w:t xml:space="preserve">38,700</w:t>
            </w:r>
          </w:p>
        </w:tc>
        <w:tc>
          <w:tcPr/>
          <w:p>
            <w:pPr>
              <w:pStyle w:val="Compact"/>
              <w:jc w:val="left"/>
            </w:pPr>
            <w:r>
              <w:t xml:space="preserve">34.9</w:t>
            </w:r>
          </w:p>
        </w:tc>
        <w:tc>
          <w:tcPr/>
          <w:p>
            <w:pPr>
              <w:pStyle w:val="Compact"/>
              <w:jc w:val="left"/>
            </w:pPr>
            <w:r>
              <w:t xml:space="preserve">Strong performance; B2B enterprise focus</w:t>
            </w:r>
          </w:p>
        </w:tc>
      </w:tr>
      <w:tr>
        <w:tc>
          <w:tcPr/>
          <w:p>
            <w:pPr>
              <w:pStyle w:val="Compact"/>
              <w:jc w:val="left"/>
            </w:pPr>
            <w:r>
              <w:t xml:space="preserve">France</w:t>
            </w:r>
          </w:p>
        </w:tc>
        <w:tc>
          <w:tcPr/>
          <w:p>
            <w:pPr>
              <w:pStyle w:val="Compact"/>
              <w:jc w:val="left"/>
            </w:pPr>
            <w:r>
              <w:t xml:space="preserve">42</w:t>
            </w:r>
          </w:p>
        </w:tc>
        <w:tc>
          <w:tcPr/>
          <w:p>
            <w:pPr>
              <w:pStyle w:val="Compact"/>
              <w:jc w:val="left"/>
            </w:pPr>
            <w:r>
              <w:t xml:space="preserve">32,100</w:t>
            </w:r>
          </w:p>
        </w:tc>
        <w:tc>
          <w:tcPr/>
          <w:p>
            <w:pPr>
              <w:pStyle w:val="Compact"/>
              <w:jc w:val="left"/>
            </w:pPr>
            <w:r>
              <w:t xml:space="preserve">28.8</w:t>
            </w:r>
          </w:p>
        </w:tc>
        <w:tc>
          <w:tcPr/>
          <w:p>
            <w:pPr>
              <w:pStyle w:val="Compact"/>
              <w:jc w:val="left"/>
            </w:pPr>
            <w:r>
              <w:t xml:space="preserve">Doubled budget; regulatory approval granted</w:t>
            </w:r>
          </w:p>
        </w:tc>
      </w:tr>
      <w:tr>
        <w:tc>
          <w:tcPr/>
          <w:p>
            <w:pPr>
              <w:pStyle w:val="Compact"/>
              <w:jc w:val="left"/>
            </w:pPr>
            <w:r>
              <w:t xml:space="preserve">India (Core)</w:t>
            </w:r>
          </w:p>
        </w:tc>
        <w:tc>
          <w:tcPr/>
          <w:p>
            <w:pPr>
              <w:pStyle w:val="Compact"/>
              <w:jc w:val="left"/>
            </w:pPr>
            <w:r>
              <w:t xml:space="preserve">141</w:t>
            </w:r>
          </w:p>
        </w:tc>
        <w:tc>
          <w:tcPr/>
          <w:p>
            <w:pPr>
              <w:pStyle w:val="Compact"/>
              <w:jc w:val="left"/>
            </w:pPr>
            <w:r>
              <w:t xml:space="preserve">109,200</w:t>
            </w:r>
          </w:p>
        </w:tc>
        <w:tc>
          <w:tcPr/>
          <w:p>
            <w:pPr>
              <w:pStyle w:val="Compact"/>
              <w:jc w:val="left"/>
            </w:pPr>
            <w:r>
              <w:t xml:space="preserve">140.0</w:t>
            </w:r>
          </w:p>
        </w:tc>
        <w:tc>
          <w:tcPr/>
          <w:p>
            <w:pPr>
              <w:pStyle w:val="Compact"/>
              <w:jc w:val="left"/>
            </w:pPr>
            <w:r>
              <w:t xml:space="preserve">Largest contributor; retention focus</w:t>
            </w:r>
          </w:p>
        </w:tc>
      </w:tr>
    </w:tbl>
    <w:p>
      <w:pPr>
        <w:pStyle w:val="BodyText"/>
      </w:pPr>
      <w:r>
        <w:rPr>
          <w:b/>
          <w:bCs/>
        </w:rPr>
        <w:t xml:space="preserve">Total New Customer Acquisitions: 162,800</w:t>
      </w:r>
    </w:p>
    <w:p>
      <w:r>
        <w:pict>
          <v:rect style="width:0;height:1.5pt" o:hralign="center" o:hrstd="t" o:hr="t"/>
        </w:pict>
      </w:r>
    </w:p>
    <w:bookmarkEnd w:id="26"/>
    <w:bookmarkStart w:id="27" w:name="campaign-spotlight-b2b-enterprise-push"/>
    <w:p>
      <w:pPr>
        <w:pStyle w:val="Heading2"/>
      </w:pPr>
      <w:r>
        <w:t xml:space="preserve">Campaign Spotlight: B2B Enterprise Push</w:t>
      </w:r>
    </w:p>
    <w:p>
      <w:pPr>
        <w:pStyle w:val="FirstParagraph"/>
      </w:pPr>
      <w:r>
        <w:rPr>
          <w:b/>
          <w:bCs/>
        </w:rPr>
        <w:t xml:space="preserve">Objective:</w:t>
      </w:r>
      <w:r>
        <w:t xml:space="preserve"> </w:t>
      </w:r>
      <w:r>
        <w:t xml:space="preserve">Establish FinSolve Technologies as enterprise-grade B2B payment solution provider</w:t>
      </w:r>
      <w:r>
        <w:t xml:space="preserve"> </w:t>
      </w:r>
      <w:r>
        <w:rPr>
          <w:b/>
          <w:bCs/>
        </w:rPr>
        <w:t xml:space="preserve">Budget:</w:t>
      </w:r>
      <w:r>
        <w:t xml:space="preserve"> </w:t>
      </w:r>
      <w:r>
        <w:t xml:space="preserve">₹48 Lakh |</w:t>
      </w:r>
      <w:r>
        <w:t xml:space="preserve"> </w:t>
      </w:r>
      <w:r>
        <w:rPr>
          <w:b/>
          <w:bCs/>
        </w:rPr>
        <w:t xml:space="preserve">Duration:</w:t>
      </w:r>
      <w:r>
        <w:t xml:space="preserve"> </w:t>
      </w:r>
      <w:r>
        <w:t xml:space="preserve">12 weeks (Apr 1 - Jun 30)</w:t>
      </w:r>
    </w:p>
    <w:p>
      <w:pPr>
        <w:pStyle w:val="BodyText"/>
      </w:pPr>
      <w:r>
        <w:rPr>
          <w:b/>
          <w:bCs/>
        </w:rPr>
        <w:t xml:space="preserve">Campaign Channels:</w:t>
      </w:r>
      <w:r>
        <w:t xml:space="preserve"> </w:t>
      </w:r>
      <w:r>
        <w:t xml:space="preserve">- LinkedIn Sales Navigator targeting CFOs, payment managers at enterprises</w:t>
      </w:r>
      <w:r>
        <w:t xml:space="preserve"> </w:t>
      </w:r>
      <w:r>
        <w:t xml:space="preserve">- Customized email sequences (5 touchpoints over 8 weeks)</w:t>
      </w:r>
      <w:r>
        <w:t xml:space="preserve"> </w:t>
      </w:r>
      <w:r>
        <w:t xml:space="preserve">- Sponsored webinar:</w:t>
      </w:r>
      <w:r>
        <w:t xml:space="preserve"> </w:t>
      </w:r>
      <w:r>
        <w:t xml:space="preserve">“</w:t>
      </w:r>
      <w:r>
        <w:t xml:space="preserve">Enterprise Payment Transformation</w:t>
      </w:r>
      <w:r>
        <w:t xml:space="preserve">”</w:t>
      </w:r>
      <w:r>
        <w:t xml:space="preserve"> </w:t>
      </w:r>
      <w:r>
        <w:t xml:space="preserve">(hosted with 2 industry analysts)</w:t>
      </w:r>
      <w:r>
        <w:t xml:space="preserve"> </w:t>
      </w:r>
      <w:r>
        <w:t xml:space="preserve">- Industry conference sponsorships (3 events)</w:t>
      </w:r>
      <w:r>
        <w:t xml:space="preserve"> </w:t>
      </w:r>
      <w:r>
        <w:t xml:space="preserve">- Account-based marketing (ABM) for top 50 enterprise targets</w:t>
      </w:r>
      <w:r>
        <w:t xml:space="preserve"> </w:t>
      </w:r>
      <w:r>
        <w:t xml:space="preserve">- Sales enablement collateral (case studies, ROI calculators)</w:t>
      </w:r>
    </w:p>
    <w:p>
      <w:pPr>
        <w:pStyle w:val="BodyText"/>
      </w:pPr>
      <w:r>
        <w:rPr>
          <w:b/>
          <w:bCs/>
        </w:rPr>
        <w:t xml:space="preserve">Results:</w:t>
      </w:r>
      <w:r>
        <w:t xml:space="preserve"> </w:t>
      </w:r>
      <w:r>
        <w:t xml:space="preserve">- 4,900 qualified B2B leads generated</w:t>
      </w:r>
      <w:r>
        <w:t xml:space="preserve"> </w:t>
      </w:r>
      <w:r>
        <w:t xml:space="preserve">- 10 enterprise customers closed (₹2.94 Crore ACV average)</w:t>
      </w:r>
      <w:r>
        <w:t xml:space="preserve"> </w:t>
      </w:r>
      <w:r>
        <w:t xml:space="preserve">- 285 accounts in active sales pipeline</w:t>
      </w:r>
      <w:r>
        <w:t xml:space="preserve"> </w:t>
      </w:r>
      <w:r>
        <w:t xml:space="preserve">- 29.4 Lakh in attributed B2B revenue</w:t>
      </w:r>
      <w:r>
        <w:t xml:space="preserve"> </w:t>
      </w:r>
      <w:r>
        <w:t xml:space="preserve">- 3.08x ROI on B2B campaign spend</w:t>
      </w:r>
      <w:r>
        <w:t xml:space="preserve"> </w:t>
      </w:r>
      <w:r>
        <w:t xml:space="preserve">- 24% open rate on LinkedIn InMails (vs. 8% industry avg)</w:t>
      </w:r>
      <w:r>
        <w:t xml:space="preserve"> </w:t>
      </w:r>
      <w:r>
        <w:t xml:space="preserve">- 4.5% enterprise conversion rate (vs. 1.8% SMB conversion)</w:t>
      </w:r>
    </w:p>
    <w:p>
      <w:pPr>
        <w:pStyle w:val="BodyText"/>
      </w:pPr>
      <w:r>
        <w:rPr>
          <w:b/>
          <w:bCs/>
        </w:rPr>
        <w:t xml:space="preserve">Notable Wins:</w:t>
      </w:r>
      <w:r>
        <w:t xml:space="preserve"> </w:t>
      </w:r>
      <w:r>
        <w:t xml:space="preserve">2 Fortune 500 companies in contract negotiations; estimated ₹8-10 Crore in potential annual revenue.</w:t>
      </w:r>
    </w:p>
    <w:p>
      <w:r>
        <w:pict>
          <v:rect style="width:0;height:1.5pt" o:hralign="center" o:hrstd="t" o:hr="t"/>
        </w:pict>
      </w:r>
    </w:p>
    <w:bookmarkEnd w:id="27"/>
    <w:bookmarkStart w:id="28" w:name="campaign-spotlight-influencer-marketing"/>
    <w:p>
      <w:pPr>
        <w:pStyle w:val="Heading2"/>
      </w:pPr>
      <w:r>
        <w:t xml:space="preserve">Campaign Spotlight: Influencer Marketing</w:t>
      </w:r>
    </w:p>
    <w:p>
      <w:pPr>
        <w:pStyle w:val="FirstParagraph"/>
      </w:pPr>
      <w:r>
        <w:rPr>
          <w:b/>
          <w:bCs/>
        </w:rPr>
        <w:t xml:space="preserve">Objective:</w:t>
      </w:r>
      <w:r>
        <w:t xml:space="preserve"> </w:t>
      </w:r>
      <w:r>
        <w:t xml:space="preserve">Leverage influencers to drive user acquisition and build brand credibility in Southeast Asia</w:t>
      </w:r>
      <w:r>
        <w:t xml:space="preserve"> </w:t>
      </w:r>
      <w:r>
        <w:rPr>
          <w:b/>
          <w:bCs/>
        </w:rPr>
        <w:t xml:space="preserve">Budget:</w:t>
      </w:r>
      <w:r>
        <w:t xml:space="preserve"> </w:t>
      </w:r>
      <w:r>
        <w:t xml:space="preserve">₹52 Lakh |</w:t>
      </w:r>
      <w:r>
        <w:t xml:space="preserve"> </w:t>
      </w:r>
      <w:r>
        <w:rPr>
          <w:b/>
          <w:bCs/>
        </w:rPr>
        <w:t xml:space="preserve">Duration:</w:t>
      </w:r>
      <w:r>
        <w:t xml:space="preserve"> </w:t>
      </w:r>
      <w:r>
        <w:t xml:space="preserve">10 weeks</w:t>
      </w:r>
    </w:p>
    <w:p>
      <w:pPr>
        <w:pStyle w:val="BodyText"/>
      </w:pPr>
      <w:r>
        <w:rPr>
          <w:b/>
          <w:bCs/>
        </w:rPr>
        <w:t xml:space="preserve">Influencer Tiers Engaged:</w:t>
      </w:r>
      <w:r>
        <w:t xml:space="preserve"> </w:t>
      </w:r>
      <w:r>
        <w:t xml:space="preserve">- 2 mega-influencers (500K+ followers): ₹24 Lakh investment</w:t>
      </w:r>
      <w:r>
        <w:t xml:space="preserve"> </w:t>
      </w:r>
      <w:r>
        <w:t xml:space="preserve">- 5 macro-influencers (100-500K followers): ₹16 Lakh investment</w:t>
      </w:r>
      <w:r>
        <w:t xml:space="preserve"> </w:t>
      </w:r>
      <w:r>
        <w:t xml:space="preserve">- 11 micro-influencers (10-100K followers): ₹12 Lakh investment</w:t>
      </w:r>
    </w:p>
    <w:p>
      <w:pPr>
        <w:pStyle w:val="BodyText"/>
      </w:pPr>
      <w:r>
        <w:rPr>
          <w:b/>
          <w:bCs/>
        </w:rPr>
        <w:t xml:space="preserve">Content Types:</w:t>
      </w:r>
      <w:r>
        <w:t xml:space="preserve"> </w:t>
      </w:r>
      <w:r>
        <w:t xml:space="preserve">- Product review videos (3-5 min)</w:t>
      </w:r>
      <w:r>
        <w:t xml:space="preserve"> </w:t>
      </w:r>
      <w:r>
        <w:t xml:space="preserve">- Unboxing/trial experiences</w:t>
      </w:r>
      <w:r>
        <w:t xml:space="preserve"> </w:t>
      </w:r>
      <w:r>
        <w:t xml:space="preserve">- Educational content on fintech benefits</w:t>
      </w:r>
      <w:r>
        <w:t xml:space="preserve"> </w:t>
      </w:r>
      <w:r>
        <w:t xml:space="preserve">- Behind-the-scenes company culture</w:t>
      </w:r>
      <w:r>
        <w:t xml:space="preserve"> </w:t>
      </w:r>
      <w:r>
        <w:t xml:space="preserve">- User testimonials and success stories</w:t>
      </w:r>
    </w:p>
    <w:p>
      <w:pPr>
        <w:pStyle w:val="BodyText"/>
      </w:pPr>
      <w:r>
        <w:rPr>
          <w:b/>
          <w:bCs/>
        </w:rPr>
        <w:t xml:space="preserve">Performance:</w:t>
      </w:r>
      <w:r>
        <w:t xml:space="preserve"> </w:t>
      </w:r>
      <w:r>
        <w:t xml:space="preserve">- 10,880 direct conversions attributed</w:t>
      </w:r>
      <w:r>
        <w:t xml:space="preserve"> </w:t>
      </w:r>
      <w:r>
        <w:t xml:space="preserve">- 32.6 Lakh in revenue</w:t>
      </w:r>
      <w:r>
        <w:t xml:space="preserve"> </w:t>
      </w:r>
      <w:r>
        <w:t xml:space="preserve">- 3.13x ROI</w:t>
      </w:r>
      <w:r>
        <w:t xml:space="preserve"> </w:t>
      </w:r>
      <w:r>
        <w:t xml:space="preserve">- 8.2M total impressions across creators</w:t>
      </w:r>
      <w:r>
        <w:t xml:space="preserve"> </w:t>
      </w:r>
      <w:r>
        <w:t xml:space="preserve">- 6.8% average engagement rate (vs. 4.2% brand average)</w:t>
      </w:r>
      <w:r>
        <w:t xml:space="preserve"> </w:t>
      </w:r>
      <w:r>
        <w:t xml:space="preserve">- 45% increase in brand mentions on social (month-over-month)</w:t>
      </w:r>
      <w:r>
        <w:t xml:space="preserve"> </w:t>
      </w:r>
      <w:r>
        <w:t xml:space="preserve">- 2 influencers with particularly strong fit for Q3 expansion</w:t>
      </w:r>
    </w:p>
    <w:p>
      <w:r>
        <w:pict>
          <v:rect style="width:0;height:1.5pt" o:hralign="center" o:hrstd="t" o:hr="t"/>
        </w:pict>
      </w:r>
    </w:p>
    <w:bookmarkEnd w:id="28"/>
    <w:bookmarkStart w:id="29" w:name="performance-vs.-targets"/>
    <w:p>
      <w:pPr>
        <w:pStyle w:val="Heading2"/>
      </w:pPr>
      <w:r>
        <w:t xml:space="preserve">Performance vs. Targets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KPI</w:t>
            </w:r>
          </w:p>
        </w:tc>
        <w:tc>
          <w:tcPr/>
          <w:p>
            <w:pPr>
              <w:pStyle w:val="Compact"/>
              <w:jc w:val="left"/>
            </w:pPr>
            <w:r>
              <w:t xml:space="preserve">Target</w:t>
            </w:r>
          </w:p>
        </w:tc>
        <w:tc>
          <w:tcPr/>
          <w:p>
            <w:pPr>
              <w:pStyle w:val="Compact"/>
              <w:jc w:val="left"/>
            </w:pPr>
            <w:r>
              <w:t xml:space="preserve">Actual</w:t>
            </w:r>
          </w:p>
        </w:tc>
        <w:tc>
          <w:tcPr/>
          <w:p>
            <w:pPr>
              <w:pStyle w:val="Compact"/>
              <w:jc w:val="left"/>
            </w:pPr>
            <w:r>
              <w:t xml:space="preserve">Status</w:t>
            </w:r>
          </w:p>
        </w:tc>
        <w:tc>
          <w:tcPr/>
          <w:p>
            <w:pPr>
              <w:pStyle w:val="Compact"/>
              <w:jc w:val="left"/>
            </w:pPr>
            <w:r>
              <w:t xml:space="preserve">Variance</w:t>
            </w:r>
          </w:p>
        </w:tc>
      </w:tr>
      <w:tr>
        <w:tc>
          <w:tcPr/>
          <w:p>
            <w:pPr>
              <w:pStyle w:val="Compact"/>
              <w:jc w:val="left"/>
            </w:pPr>
            <w:r>
              <w:t xml:space="preserve">Customer Acquisitions</w:t>
            </w:r>
          </w:p>
        </w:tc>
        <w:tc>
          <w:tcPr/>
          <w:p>
            <w:pPr>
              <w:pStyle w:val="Compact"/>
              <w:jc w:val="left"/>
            </w:pPr>
            <w:r>
              <w:t xml:space="preserve">158,000</w:t>
            </w:r>
          </w:p>
        </w:tc>
        <w:tc>
          <w:tcPr/>
          <w:p>
            <w:pPr>
              <w:pStyle w:val="Compact"/>
              <w:jc w:val="left"/>
            </w:pPr>
            <w:r>
              <w:t xml:space="preserve">162,800</w:t>
            </w:r>
          </w:p>
        </w:tc>
        <w:tc>
          <w:tcPr/>
          <w:p>
            <w:pPr>
              <w:pStyle w:val="Compact"/>
              <w:jc w:val="left"/>
            </w:pPr>
            <w:r>
              <w:t xml:space="preserve">✓ Beat</w:t>
            </w:r>
          </w:p>
        </w:tc>
        <w:tc>
          <w:tcPr/>
          <w:p>
            <w:pPr>
              <w:pStyle w:val="Compact"/>
              <w:jc w:val="left"/>
            </w:pPr>
            <w:r>
              <w:t xml:space="preserve">+4,800 (+3%)</w:t>
            </w:r>
          </w:p>
        </w:tc>
      </w:tr>
      <w:tr>
        <w:tc>
          <w:tcPr/>
          <w:p>
            <w:pPr>
              <w:pStyle w:val="Compact"/>
              <w:jc w:val="left"/>
            </w:pPr>
            <w:r>
              <w:t xml:space="preserve">Revenue Target</w:t>
            </w:r>
          </w:p>
        </w:tc>
        <w:tc>
          <w:tcPr/>
          <w:p>
            <w:pPr>
              <w:pStyle w:val="Compact"/>
              <w:jc w:val="left"/>
            </w:pPr>
            <w:r>
              <w:t xml:space="preserve">₹78 Lakh</w:t>
            </w:r>
          </w:p>
        </w:tc>
        <w:tc>
          <w:tcPr/>
          <w:p>
            <w:pPr>
              <w:pStyle w:val="Compact"/>
              <w:jc w:val="left"/>
            </w:pPr>
            <w:r>
              <w:t xml:space="preserve">₹82.3 Lakh</w:t>
            </w:r>
          </w:p>
        </w:tc>
        <w:tc>
          <w:tcPr/>
          <w:p>
            <w:pPr>
              <w:pStyle w:val="Compact"/>
              <w:jc w:val="left"/>
            </w:pPr>
            <w:r>
              <w:t xml:space="preserve">✓ Beat</w:t>
            </w:r>
          </w:p>
        </w:tc>
        <w:tc>
          <w:tcPr/>
          <w:p>
            <w:pPr>
              <w:pStyle w:val="Compact"/>
              <w:jc w:val="left"/>
            </w:pPr>
            <w:r>
              <w:t xml:space="preserve">+4.3L (+5.5%)</w:t>
            </w:r>
          </w:p>
        </w:tc>
      </w:tr>
      <w:tr>
        <w:tc>
          <w:tcPr/>
          <w:p>
            <w:pPr>
              <w:pStyle w:val="Compact"/>
              <w:jc w:val="left"/>
            </w:pPr>
            <w:r>
              <w:t xml:space="preserve">Average CAC</w:t>
            </w:r>
          </w:p>
        </w:tc>
        <w:tc>
          <w:tcPr/>
          <w:p>
            <w:pPr>
              <w:pStyle w:val="Compact"/>
              <w:jc w:val="left"/>
            </w:pPr>
            <w:r>
              <w:t xml:space="preserve">₹1,800</w:t>
            </w:r>
          </w:p>
        </w:tc>
        <w:tc>
          <w:tcPr/>
          <w:p>
            <w:pPr>
              <w:pStyle w:val="Compact"/>
              <w:jc w:val="left"/>
            </w:pPr>
            <w:r>
              <w:t xml:space="preserve">₹1,719</w:t>
            </w:r>
          </w:p>
        </w:tc>
        <w:tc>
          <w:tcPr/>
          <w:p>
            <w:pPr>
              <w:pStyle w:val="Compact"/>
              <w:jc w:val="left"/>
            </w:pPr>
            <w:r>
              <w:t xml:space="preserve">✓ Beat</w:t>
            </w:r>
          </w:p>
        </w:tc>
        <w:tc>
          <w:tcPr/>
          <w:p>
            <w:pPr>
              <w:pStyle w:val="Compact"/>
              <w:jc w:val="left"/>
            </w:pPr>
            <w:r>
              <w:t xml:space="preserve">-₹81 (-4.5%)</w:t>
            </w:r>
          </w:p>
        </w:tc>
      </w:tr>
      <w:tr>
        <w:tc>
          <w:tcPr/>
          <w:p>
            <w:pPr>
              <w:pStyle w:val="Compact"/>
              <w:jc w:val="left"/>
            </w:pPr>
            <w:r>
              <w:t xml:space="preserve">ROI Target</w:t>
            </w:r>
          </w:p>
        </w:tc>
        <w:tc>
          <w:tcPr/>
          <w:p>
            <w:pPr>
              <w:pStyle w:val="Compact"/>
              <w:jc w:val="left"/>
            </w:pPr>
            <w:r>
              <w:t xml:space="preserve">3.2x</w:t>
            </w:r>
          </w:p>
        </w:tc>
        <w:tc>
          <w:tcPr/>
          <w:p>
            <w:pPr>
              <w:pStyle w:val="Compact"/>
              <w:jc w:val="left"/>
            </w:pPr>
            <w:r>
              <w:t xml:space="preserve">3.29x</w:t>
            </w:r>
          </w:p>
        </w:tc>
        <w:tc>
          <w:tcPr/>
          <w:p>
            <w:pPr>
              <w:pStyle w:val="Compact"/>
              <w:jc w:val="left"/>
            </w:pPr>
            <w:r>
              <w:t xml:space="preserve">✓ Beat</w:t>
            </w:r>
          </w:p>
        </w:tc>
        <w:tc>
          <w:tcPr/>
          <w:p>
            <w:pPr>
              <w:pStyle w:val="Compact"/>
              <w:jc w:val="left"/>
            </w:pPr>
            <w:r>
              <w:t xml:space="preserve">+0.09x (+2.8%)</w:t>
            </w:r>
          </w:p>
        </w:tc>
      </w:tr>
      <w:tr>
        <w:tc>
          <w:tcPr/>
          <w:p>
            <w:pPr>
              <w:pStyle w:val="Compact"/>
              <w:jc w:val="left"/>
            </w:pPr>
            <w:r>
              <w:t xml:space="preserve">Social Media Followers (Combined)</w:t>
            </w:r>
          </w:p>
        </w:tc>
        <w:tc>
          <w:tcPr/>
          <w:p>
            <w:pPr>
              <w:pStyle w:val="Compact"/>
              <w:jc w:val="left"/>
            </w:pPr>
            <w:r>
              <w:t xml:space="preserve">650K</w:t>
            </w:r>
          </w:p>
        </w:tc>
        <w:tc>
          <w:tcPr/>
          <w:p>
            <w:pPr>
              <w:pStyle w:val="Compact"/>
              <w:jc w:val="left"/>
            </w:pPr>
            <w:r>
              <w:t xml:space="preserve">830,600</w:t>
            </w:r>
          </w:p>
        </w:tc>
        <w:tc>
          <w:tcPr/>
          <w:p>
            <w:pPr>
              <w:pStyle w:val="Compact"/>
              <w:jc w:val="left"/>
            </w:pPr>
            <w:r>
              <w:t xml:space="preserve">✓ Beat</w:t>
            </w:r>
          </w:p>
        </w:tc>
        <w:tc>
          <w:tcPr/>
          <w:p>
            <w:pPr>
              <w:pStyle w:val="Compact"/>
              <w:jc w:val="left"/>
            </w:pPr>
            <w:r>
              <w:t xml:space="preserve">+180.6K (+27.8%)</w:t>
            </w:r>
          </w:p>
        </w:tc>
      </w:tr>
      <w:tr>
        <w:tc>
          <w:tcPr/>
          <w:p>
            <w:pPr>
              <w:pStyle w:val="Compact"/>
              <w:jc w:val="left"/>
            </w:pPr>
            <w:r>
              <w:t xml:space="preserve">B2B Qualified Leads</w:t>
            </w:r>
          </w:p>
        </w:tc>
        <w:tc>
          <w:tcPr/>
          <w:p>
            <w:pPr>
              <w:pStyle w:val="Compact"/>
              <w:jc w:val="left"/>
            </w:pPr>
            <w:r>
              <w:t xml:space="preserve">200</w:t>
            </w:r>
          </w:p>
        </w:tc>
        <w:tc>
          <w:tcPr/>
          <w:p>
            <w:pPr>
              <w:pStyle w:val="Compact"/>
              <w:jc w:val="left"/>
            </w:pPr>
            <w:r>
              <w:t xml:space="preserve">285</w:t>
            </w:r>
          </w:p>
        </w:tc>
        <w:tc>
          <w:tcPr/>
          <w:p>
            <w:pPr>
              <w:pStyle w:val="Compact"/>
              <w:jc w:val="left"/>
            </w:pPr>
            <w:r>
              <w:t xml:space="preserve">✓ Beat</w:t>
            </w:r>
          </w:p>
        </w:tc>
        <w:tc>
          <w:tcPr/>
          <w:p>
            <w:pPr>
              <w:pStyle w:val="Compact"/>
              <w:jc w:val="left"/>
            </w:pPr>
            <w:r>
              <w:t xml:space="preserve">+85 (+42.5%)</w:t>
            </w:r>
          </w:p>
        </w:tc>
      </w:tr>
    </w:tbl>
    <w:p>
      <w:r>
        <w:pict>
          <v:rect style="width:0;height:1.5pt" o:hralign="center" o:hrstd="t" o:hr="t"/>
        </w:pict>
      </w:r>
    </w:p>
    <w:bookmarkEnd w:id="29"/>
    <w:bookmarkStart w:id="30" w:name="ab-testing-results"/>
    <w:p>
      <w:pPr>
        <w:pStyle w:val="Heading2"/>
      </w:pPr>
      <w:r>
        <w:t xml:space="preserve">A/B Testing Results</w:t>
      </w:r>
    </w:p>
    <w:p>
      <w:pPr>
        <w:pStyle w:val="FirstParagraph"/>
      </w:pPr>
      <w:r>
        <w:rPr>
          <w:b/>
          <w:bCs/>
        </w:rPr>
        <w:t xml:space="preserve">Test 1: Southeast Asia Ad Localization (Singapore)</w:t>
      </w:r>
      <w:r>
        <w:t xml:space="preserve"> </w:t>
      </w:r>
      <w:r>
        <w:t xml:space="preserve">- Variant A: Global campaign translated to English - 2.8% conversion rate</w:t>
      </w:r>
      <w:r>
        <w:t xml:space="preserve"> </w:t>
      </w:r>
      <w:r>
        <w:t xml:space="preserve">- Variant B: Locally-created content featuring Singapore fintech context - 4.1% conversion rate</w:t>
      </w:r>
      <w:r>
        <w:t xml:space="preserve"> </w:t>
      </w:r>
      <w:r>
        <w:t xml:space="preserve">- Winner: Variant B (46% improvement)</w:t>
      </w:r>
      <w:r>
        <w:t xml:space="preserve"> </w:t>
      </w:r>
      <w:r>
        <w:t xml:space="preserve">- Recommendation: Always develop region-specific creative, not direct translations</w:t>
      </w:r>
    </w:p>
    <w:p>
      <w:pPr>
        <w:pStyle w:val="BodyText"/>
      </w:pPr>
      <w:r>
        <w:rPr>
          <w:b/>
          <w:bCs/>
        </w:rPr>
        <w:t xml:space="preserve">Test 2: B2B LinkedIn Messaging (Enterprise Campaign)</w:t>
      </w:r>
      <w:r>
        <w:t xml:space="preserve"> </w:t>
      </w:r>
      <w:r>
        <w:t xml:space="preserve">- Variant A: Feature-focused messaging - 2.1% reply rate</w:t>
      </w:r>
      <w:r>
        <w:t xml:space="preserve"> </w:t>
      </w:r>
      <w:r>
        <w:t xml:space="preserve">- Variant B: ROI/time-savings focused messaging - 3.8% reply rate</w:t>
      </w:r>
      <w:r>
        <w:t xml:space="preserve"> </w:t>
      </w:r>
      <w:r>
        <w:t xml:space="preserve">- Winner: Variant B (81% improvement)</w:t>
      </w:r>
      <w:r>
        <w:t xml:space="preserve"> </w:t>
      </w:r>
      <w:r>
        <w:t xml:space="preserve">- Recommendation: Lead with business outcomes, not product features in B2B messaging</w:t>
      </w:r>
    </w:p>
    <w:p>
      <w:pPr>
        <w:pStyle w:val="BodyText"/>
      </w:pPr>
      <w:r>
        <w:rPr>
          <w:b/>
          <w:bCs/>
        </w:rPr>
        <w:t xml:space="preserve">Test 3: Email CTA Button Colors (Multi-channel)</w:t>
      </w:r>
      <w:r>
        <w:t xml:space="preserve"> </w:t>
      </w:r>
      <w:r>
        <w:t xml:space="preserve">- Variant A: Traditional blue button - 3.2% click rate</w:t>
      </w:r>
      <w:r>
        <w:t xml:space="preserve"> </w:t>
      </w:r>
      <w:r>
        <w:t xml:space="preserve">- Variant B: Contrasting orange button with urgency text - 4.9% click rate</w:t>
      </w:r>
      <w:r>
        <w:t xml:space="preserve"> </w:t>
      </w:r>
      <w:r>
        <w:t xml:space="preserve">- Winner: Variant B (53% improvement)</w:t>
      </w:r>
      <w:r>
        <w:t xml:space="preserve"> </w:t>
      </w:r>
      <w:r>
        <w:t xml:space="preserve">- Recommendation: Adopt new button color and urgency language across all email campaigns</w:t>
      </w:r>
    </w:p>
    <w:p>
      <w:r>
        <w:pict>
          <v:rect style="width:0;height:1.5pt" o:hralign="center" o:hrstd="t" o:hr="t"/>
        </w:pict>
      </w:r>
    </w:p>
    <w:bookmarkEnd w:id="30"/>
    <w:bookmarkStart w:id="31" w:name="recommendations-for-q3-2024"/>
    <w:p>
      <w:pPr>
        <w:pStyle w:val="Heading2"/>
      </w:pPr>
      <w:r>
        <w:t xml:space="preserve">Recommendations for Q3 2024</w:t>
      </w:r>
    </w:p>
    <w:p>
      <w:pPr>
        <w:numPr>
          <w:ilvl w:val="0"/>
          <w:numId w:val="1001"/>
        </w:numPr>
      </w:pPr>
      <w:r>
        <w:rPr>
          <w:b/>
          <w:bCs/>
        </w:rPr>
        <w:t xml:space="preserve">Scale Southeast Asia:</w:t>
      </w:r>
      <w:r>
        <w:t xml:space="preserve"> </w:t>
      </w:r>
      <w:r>
        <w:t xml:space="preserve">Increase budget to ₹35 Crore for Thailand, Vietnam market entry. Hire local marketing team in Bangkok.</w:t>
      </w:r>
    </w:p>
    <w:p>
      <w:pPr>
        <w:numPr>
          <w:ilvl w:val="0"/>
          <w:numId w:val="1001"/>
        </w:numPr>
      </w:pPr>
      <w:r>
        <w:rPr>
          <w:b/>
          <w:bCs/>
        </w:rPr>
        <w:t xml:space="preserve">Expand B2B Enterprise Focus:</w:t>
      </w:r>
      <w:r>
        <w:t xml:space="preserve"> </w:t>
      </w:r>
      <w:r>
        <w:t xml:space="preserve">Double B2B campaign spend to ₹96 Lakh; 10 closes show strong product-market fit. Target enterprise segment as growth driver.</w:t>
      </w:r>
    </w:p>
    <w:p>
      <w:pPr>
        <w:numPr>
          <w:ilvl w:val="0"/>
          <w:numId w:val="1001"/>
        </w:numPr>
      </w:pPr>
      <w:r>
        <w:rPr>
          <w:b/>
          <w:bCs/>
        </w:rPr>
        <w:t xml:space="preserve">Influencer Program Evolution:</w:t>
      </w:r>
      <w:r>
        <w:t xml:space="preserve"> </w:t>
      </w:r>
      <w:r>
        <w:t xml:space="preserve">Establish formal influencer network with 25-30 creators for recurring content partnerships (monthly retainers vs. per-post).</w:t>
      </w:r>
    </w:p>
    <w:p>
      <w:pPr>
        <w:numPr>
          <w:ilvl w:val="0"/>
          <w:numId w:val="1001"/>
        </w:numPr>
      </w:pPr>
      <w:r>
        <w:rPr>
          <w:b/>
          <w:bCs/>
        </w:rPr>
        <w:t xml:space="preserve">Customer Retention Investment:</w:t>
      </w:r>
      <w:r>
        <w:t xml:space="preserve"> </w:t>
      </w:r>
      <w:r>
        <w:t xml:space="preserve">Allocate ₹18 Lakh for loyalty program launch and retention marketing to reduce churn and increase customer lifetime value.</w:t>
      </w:r>
    </w:p>
    <w:p>
      <w:pPr>
        <w:numPr>
          <w:ilvl w:val="0"/>
          <w:numId w:val="1001"/>
        </w:numPr>
      </w:pPr>
      <w:r>
        <w:rPr>
          <w:b/>
          <w:bCs/>
        </w:rPr>
        <w:t xml:space="preserve">Terminate Local Partnerships:</w:t>
      </w:r>
      <w:r>
        <w:t xml:space="preserve"> </w:t>
      </w:r>
      <w:r>
        <w:t xml:space="preserve">Reallocate ₹28 Lakh from underperforming local partnership channel to high-ROI digital ads and influencer marketing.</w:t>
      </w:r>
    </w:p>
    <w:p>
      <w:pPr>
        <w:numPr>
          <w:ilvl w:val="0"/>
          <w:numId w:val="1001"/>
        </w:numPr>
      </w:pPr>
      <w:r>
        <w:rPr>
          <w:b/>
          <w:bCs/>
        </w:rPr>
        <w:t xml:space="preserve">Latin America Pilot:</w:t>
      </w:r>
      <w:r>
        <w:t xml:space="preserve"> </w:t>
      </w:r>
      <w:r>
        <w:t xml:space="preserve">Begin market research and soft-launch campaigns in Mexico and Brazil with ₹15 Lakh budget.</w:t>
      </w:r>
    </w:p>
    <w:p>
      <w:r>
        <w:pict>
          <v:rect style="width:0;height:1.5pt" o:hralign="center" o:hrstd="t" o:hr="t"/>
        </w:pict>
      </w:r>
    </w:p>
    <w:bookmarkEnd w:id="31"/>
    <w:bookmarkStart w:id="32" w:name="budget-tracking"/>
    <w:p>
      <w:pPr>
        <w:pStyle w:val="Heading2"/>
      </w:pPr>
      <w:r>
        <w:t xml:space="preserve">Budget Tracking</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Category</w:t>
            </w:r>
          </w:p>
        </w:tc>
        <w:tc>
          <w:tcPr/>
          <w:p>
            <w:pPr>
              <w:pStyle w:val="Compact"/>
              <w:jc w:val="left"/>
            </w:pPr>
            <w:r>
              <w:t xml:space="preserve">Planned (₹L)</w:t>
            </w:r>
          </w:p>
        </w:tc>
        <w:tc>
          <w:tcPr/>
          <w:p>
            <w:pPr>
              <w:pStyle w:val="Compact"/>
              <w:jc w:val="left"/>
            </w:pPr>
            <w:r>
              <w:t xml:space="preserve">Actual (₹L)</w:t>
            </w:r>
          </w:p>
        </w:tc>
        <w:tc>
          <w:tcPr/>
          <w:p>
            <w:pPr>
              <w:pStyle w:val="Compact"/>
              <w:jc w:val="left"/>
            </w:pPr>
            <w:r>
              <w:t xml:space="preserve">Variance</w:t>
            </w:r>
          </w:p>
        </w:tc>
        <w:tc>
          <w:tcPr/>
          <w:p>
            <w:pPr>
              <w:pStyle w:val="Compact"/>
              <w:jc w:val="left"/>
            </w:pPr>
            <w:r>
              <w:t xml:space="preserve">% of Total</w:t>
            </w:r>
          </w:p>
        </w:tc>
      </w:tr>
      <w:tr>
        <w:tc>
          <w:tcPr/>
          <w:p>
            <w:pPr>
              <w:pStyle w:val="Compact"/>
              <w:jc w:val="left"/>
            </w:pPr>
            <w:r>
              <w:t xml:space="preserve">Digital Advertising</w:t>
            </w:r>
          </w:p>
        </w:tc>
        <w:tc>
          <w:tcPr/>
          <w:p>
            <w:pPr>
              <w:pStyle w:val="Compact"/>
              <w:jc w:val="left"/>
            </w:pPr>
            <w:r>
              <w:t xml:space="preserve">148</w:t>
            </w:r>
          </w:p>
        </w:tc>
        <w:tc>
          <w:tcPr/>
          <w:p>
            <w:pPr>
              <w:pStyle w:val="Compact"/>
              <w:jc w:val="left"/>
            </w:pPr>
            <w:r>
              <w:t xml:space="preserve">150</w:t>
            </w:r>
          </w:p>
        </w:tc>
        <w:tc>
          <w:tcPr/>
          <w:p>
            <w:pPr>
              <w:pStyle w:val="Compact"/>
              <w:jc w:val="left"/>
            </w:pPr>
            <w:r>
              <w:t xml:space="preserve">+2</w:t>
            </w:r>
          </w:p>
        </w:tc>
        <w:tc>
          <w:tcPr/>
          <w:p>
            <w:pPr>
              <w:pStyle w:val="Compact"/>
              <w:jc w:val="left"/>
            </w:pPr>
            <w:r>
              <w:t xml:space="preserve">45.9%</w:t>
            </w:r>
          </w:p>
        </w:tc>
      </w:tr>
      <w:tr>
        <w:tc>
          <w:tcPr/>
          <w:p>
            <w:pPr>
              <w:pStyle w:val="Compact"/>
              <w:jc w:val="left"/>
            </w:pPr>
            <w:r>
              <w:t xml:space="preserve">Influencer Marketing</w:t>
            </w:r>
          </w:p>
        </w:tc>
        <w:tc>
          <w:tcPr/>
          <w:p>
            <w:pPr>
              <w:pStyle w:val="Compact"/>
              <w:jc w:val="left"/>
            </w:pPr>
            <w:r>
              <w:t xml:space="preserve">50</w:t>
            </w:r>
          </w:p>
        </w:tc>
        <w:tc>
          <w:tcPr/>
          <w:p>
            <w:pPr>
              <w:pStyle w:val="Compact"/>
              <w:jc w:val="left"/>
            </w:pPr>
            <w:r>
              <w:t xml:space="preserve">52</w:t>
            </w:r>
          </w:p>
        </w:tc>
        <w:tc>
          <w:tcPr/>
          <w:p>
            <w:pPr>
              <w:pStyle w:val="Compact"/>
              <w:jc w:val="left"/>
            </w:pPr>
            <w:r>
              <w:t xml:space="preserve">+2</w:t>
            </w:r>
          </w:p>
        </w:tc>
        <w:tc>
          <w:tcPr/>
          <w:p>
            <w:pPr>
              <w:pStyle w:val="Compact"/>
              <w:jc w:val="left"/>
            </w:pPr>
            <w:r>
              <w:t xml:space="preserve">15.9%</w:t>
            </w:r>
          </w:p>
        </w:tc>
      </w:tr>
      <w:tr>
        <w:tc>
          <w:tcPr/>
          <w:p>
            <w:pPr>
              <w:pStyle w:val="Compact"/>
              <w:jc w:val="left"/>
            </w:pPr>
            <w:r>
              <w:t xml:space="preserve">Email &amp; CRM</w:t>
            </w:r>
          </w:p>
        </w:tc>
        <w:tc>
          <w:tcPr/>
          <w:p>
            <w:pPr>
              <w:pStyle w:val="Compact"/>
              <w:jc w:val="left"/>
            </w:pPr>
            <w:r>
              <w:t xml:space="preserve">35</w:t>
            </w:r>
          </w:p>
        </w:tc>
        <w:tc>
          <w:tcPr/>
          <w:p>
            <w:pPr>
              <w:pStyle w:val="Compact"/>
              <w:jc w:val="left"/>
            </w:pPr>
            <w:r>
              <w:t xml:space="preserve">35</w:t>
            </w:r>
          </w:p>
        </w:tc>
        <w:tc>
          <w:tcPr/>
          <w:p>
            <w:pPr>
              <w:pStyle w:val="Compact"/>
              <w:jc w:val="left"/>
            </w:pPr>
            <w:r>
              <w:t xml:space="preserve">0</w:t>
            </w:r>
          </w:p>
        </w:tc>
        <w:tc>
          <w:tcPr/>
          <w:p>
            <w:pPr>
              <w:pStyle w:val="Compact"/>
              <w:jc w:val="left"/>
            </w:pPr>
            <w:r>
              <w:t xml:space="preserve">10.7%</w:t>
            </w:r>
          </w:p>
        </w:tc>
      </w:tr>
      <w:tr>
        <w:tc>
          <w:tcPr/>
          <w:p>
            <w:pPr>
              <w:pStyle w:val="Compact"/>
              <w:jc w:val="left"/>
            </w:pPr>
            <w:r>
              <w:t xml:space="preserve">Content &amp; Webinars</w:t>
            </w:r>
          </w:p>
        </w:tc>
        <w:tc>
          <w:tcPr/>
          <w:p>
            <w:pPr>
              <w:pStyle w:val="Compact"/>
              <w:jc w:val="left"/>
            </w:pPr>
            <w:r>
              <w:t xml:space="preserve">24</w:t>
            </w:r>
          </w:p>
        </w:tc>
        <w:tc>
          <w:tcPr/>
          <w:p>
            <w:pPr>
              <w:pStyle w:val="Compact"/>
              <w:jc w:val="left"/>
            </w:pPr>
            <w:r>
              <w:t xml:space="preserve">22</w:t>
            </w:r>
          </w:p>
        </w:tc>
        <w:tc>
          <w:tcPr/>
          <w:p>
            <w:pPr>
              <w:pStyle w:val="Compact"/>
              <w:jc w:val="left"/>
            </w:pPr>
            <w:r>
              <w:t xml:space="preserve">-2</w:t>
            </w:r>
          </w:p>
        </w:tc>
        <w:tc>
          <w:tcPr/>
          <w:p>
            <w:pPr>
              <w:pStyle w:val="Compact"/>
              <w:jc w:val="left"/>
            </w:pPr>
            <w:r>
              <w:t xml:space="preserve">6.7%</w:t>
            </w:r>
          </w:p>
        </w:tc>
      </w:tr>
      <w:tr>
        <w:tc>
          <w:tcPr/>
          <w:p>
            <w:pPr>
              <w:pStyle w:val="Compact"/>
              <w:jc w:val="left"/>
            </w:pPr>
            <w:r>
              <w:t xml:space="preserve">Events &amp; Sponsorships</w:t>
            </w:r>
          </w:p>
        </w:tc>
        <w:tc>
          <w:tcPr/>
          <w:p>
            <w:pPr>
              <w:pStyle w:val="Compact"/>
              <w:jc w:val="left"/>
            </w:pPr>
            <w:r>
              <w:t xml:space="preserve">30</w:t>
            </w:r>
          </w:p>
        </w:tc>
        <w:tc>
          <w:tcPr/>
          <w:p>
            <w:pPr>
              <w:pStyle w:val="Compact"/>
              <w:jc w:val="left"/>
            </w:pPr>
            <w:r>
              <w:t xml:space="preserve">28</w:t>
            </w:r>
          </w:p>
        </w:tc>
        <w:tc>
          <w:tcPr/>
          <w:p>
            <w:pPr>
              <w:pStyle w:val="Compact"/>
              <w:jc w:val="left"/>
            </w:pPr>
            <w:r>
              <w:t xml:space="preserve">-2</w:t>
            </w:r>
          </w:p>
        </w:tc>
        <w:tc>
          <w:tcPr/>
          <w:p>
            <w:pPr>
              <w:pStyle w:val="Compact"/>
              <w:jc w:val="left"/>
            </w:pPr>
            <w:r>
              <w:t xml:space="preserve">8.6%</w:t>
            </w:r>
          </w:p>
        </w:tc>
      </w:tr>
      <w:tr>
        <w:tc>
          <w:tcPr/>
          <w:p>
            <w:pPr>
              <w:pStyle w:val="Compact"/>
              <w:jc w:val="left"/>
            </w:pPr>
            <w:r>
              <w:t xml:space="preserve">Partnerships</w:t>
            </w:r>
          </w:p>
        </w:tc>
        <w:tc>
          <w:tcPr/>
          <w:p>
            <w:pPr>
              <w:pStyle w:val="Compact"/>
              <w:jc w:val="left"/>
            </w:pPr>
            <w:r>
              <w:t xml:space="preserve">33</w:t>
            </w:r>
          </w:p>
        </w:tc>
        <w:tc>
          <w:tcPr/>
          <w:p>
            <w:pPr>
              <w:pStyle w:val="Compact"/>
              <w:jc w:val="left"/>
            </w:pPr>
            <w:r>
              <w:t xml:space="preserve">28</w:t>
            </w:r>
          </w:p>
        </w:tc>
        <w:tc>
          <w:tcPr/>
          <w:p>
            <w:pPr>
              <w:pStyle w:val="Compact"/>
              <w:jc w:val="left"/>
            </w:pPr>
            <w:r>
              <w:t xml:space="preserve">-5</w:t>
            </w:r>
          </w:p>
        </w:tc>
        <w:tc>
          <w:tcPr/>
          <w:p>
            <w:pPr>
              <w:pStyle w:val="Compact"/>
              <w:jc w:val="left"/>
            </w:pPr>
            <w:r>
              <w:t xml:space="preserve">8.6%</w:t>
            </w:r>
          </w:p>
        </w:tc>
      </w:tr>
      <w:tr>
        <w:tc>
          <w:tcPr/>
          <w:p>
            <w:pPr>
              <w:pStyle w:val="Compact"/>
              <w:jc w:val="left"/>
            </w:pPr>
            <w:r>
              <w:t xml:space="preserve">Analytics &amp; Tools</w:t>
            </w:r>
          </w:p>
        </w:tc>
        <w:tc>
          <w:tcPr/>
          <w:p>
            <w:pPr>
              <w:pStyle w:val="Compact"/>
              <w:jc w:val="left"/>
            </w:pPr>
            <w:r>
              <w:t xml:space="preserve">8</w:t>
            </w:r>
          </w:p>
        </w:tc>
        <w:tc>
          <w:tcPr/>
          <w:p>
            <w:pPr>
              <w:pStyle w:val="Compact"/>
              <w:jc w:val="left"/>
            </w:pPr>
            <w:r>
              <w:t xml:space="preserve">12</w:t>
            </w:r>
          </w:p>
        </w:tc>
        <w:tc>
          <w:tcPr/>
          <w:p>
            <w:pPr>
              <w:pStyle w:val="Compact"/>
              <w:jc w:val="left"/>
            </w:pPr>
            <w:r>
              <w:t xml:space="preserve">+4</w:t>
            </w:r>
          </w:p>
        </w:tc>
        <w:tc>
          <w:tcPr/>
          <w:p>
            <w:pPr>
              <w:pStyle w:val="Compact"/>
              <w:jc w:val="left"/>
            </w:pPr>
            <w:r>
              <w:t xml:space="preserve">3.7%</w:t>
            </w:r>
          </w:p>
        </w:tc>
      </w:tr>
      <w:tr>
        <w:tc>
          <w:tcPr/>
          <w:p>
            <w:pPr>
              <w:pStyle w:val="Compact"/>
              <w:jc w:val="left"/>
            </w:pPr>
            <w:r>
              <w:rPr>
                <w:b/>
                <w:bCs/>
              </w:rPr>
              <w:t xml:space="preserve">Total</w:t>
            </w:r>
          </w:p>
        </w:tc>
        <w:tc>
          <w:tcPr/>
          <w:p>
            <w:pPr>
              <w:pStyle w:val="Compact"/>
              <w:jc w:val="left"/>
            </w:pPr>
            <w:r>
              <w:rPr>
                <w:b/>
                <w:bCs/>
              </w:rPr>
              <w:t xml:space="preserve">328</w:t>
            </w:r>
          </w:p>
        </w:tc>
        <w:tc>
          <w:tcPr/>
          <w:p>
            <w:pPr>
              <w:pStyle w:val="Compact"/>
              <w:jc w:val="left"/>
            </w:pPr>
            <w:r>
              <w:rPr>
                <w:b/>
                <w:bCs/>
              </w:rPr>
              <w:t xml:space="preserve">327</w:t>
            </w:r>
          </w:p>
        </w:tc>
        <w:tc>
          <w:tcPr/>
          <w:p>
            <w:pPr>
              <w:pStyle w:val="Compact"/>
              <w:jc w:val="left"/>
            </w:pPr>
            <w:r>
              <w:rPr>
                <w:b/>
                <w:bCs/>
              </w:rPr>
              <w:t xml:space="preserve">-1</w:t>
            </w:r>
          </w:p>
        </w:tc>
        <w:tc>
          <w:tcPr/>
          <w:p>
            <w:pPr>
              <w:pStyle w:val="Compact"/>
              <w:jc w:val="left"/>
            </w:pPr>
            <w:r>
              <w:rPr>
                <w:b/>
                <w:bCs/>
              </w:rPr>
              <w:t xml:space="preserve">100%</w:t>
            </w:r>
          </w:p>
        </w:tc>
      </w:tr>
    </w:tbl>
    <w:p>
      <w:pPr>
        <w:pStyle w:val="BodyText"/>
      </w:pPr>
      <w:r>
        <w:rPr>
          <w:b/>
          <w:bCs/>
        </w:rPr>
        <w:t xml:space="preserve">Budget Adherence: 99.7% (Excellent)</w:t>
      </w:r>
    </w:p>
    <w:p>
      <w:r>
        <w:pict>
          <v:rect style="width:0;height:1.5pt" o:hralign="center" o:hrstd="t" o:hr="t"/>
        </w:pict>
      </w:r>
    </w:p>
    <w:bookmarkEnd w:id="32"/>
    <w:bookmarkStart w:id="33" w:name="data-quality-notes"/>
    <w:p>
      <w:pPr>
        <w:pStyle w:val="Heading2"/>
      </w:pPr>
      <w:r>
        <w:t xml:space="preserve">Data Quality Notes</w:t>
      </w:r>
    </w:p>
    <w:p>
      <w:pPr>
        <w:pStyle w:val="Compact"/>
        <w:numPr>
          <w:ilvl w:val="0"/>
          <w:numId w:val="1002"/>
        </w:numPr>
      </w:pPr>
      <w:r>
        <w:t xml:space="preserve">All metrics verified against Google Analytics, HubSpot CRM, and Salesforce</w:t>
      </w:r>
    </w:p>
    <w:p>
      <w:pPr>
        <w:pStyle w:val="Compact"/>
        <w:numPr>
          <w:ilvl w:val="0"/>
          <w:numId w:val="1002"/>
        </w:numPr>
      </w:pPr>
      <w:r>
        <w:t xml:space="preserve">Revenue figures represent marketing-attributed revenue (first-touch and multi-touch attribution models)</w:t>
      </w:r>
    </w:p>
    <w:p>
      <w:pPr>
        <w:pStyle w:val="Compact"/>
        <w:numPr>
          <w:ilvl w:val="0"/>
          <w:numId w:val="1002"/>
        </w:numPr>
      </w:pPr>
      <w:r>
        <w:t xml:space="preserve">Influencer reach verified via Social Blade and official platform analytics</w:t>
      </w:r>
    </w:p>
    <w:p>
      <w:pPr>
        <w:pStyle w:val="Compact"/>
        <w:numPr>
          <w:ilvl w:val="0"/>
          <w:numId w:val="1002"/>
        </w:numPr>
      </w:pPr>
      <w:r>
        <w:t xml:space="preserve">B2B conversions tracked via Salesforce pipeline management</w:t>
      </w:r>
    </w:p>
    <w:p>
      <w:pPr>
        <w:pStyle w:val="Compact"/>
        <w:numPr>
          <w:ilvl w:val="0"/>
          <w:numId w:val="1002"/>
        </w:numPr>
      </w:pPr>
      <w:r>
        <w:t xml:space="preserve">Regional targeting based on IP geolocation + user-declared location</w:t>
      </w:r>
    </w:p>
    <w:p>
      <w:pPr>
        <w:pStyle w:val="Compact"/>
        <w:numPr>
          <w:ilvl w:val="0"/>
          <w:numId w:val="1002"/>
        </w:numPr>
      </w:pPr>
      <w:r>
        <w:t xml:space="preserve">Conversion tracking enabled on 97% of digital properties</w:t>
      </w:r>
    </w:p>
    <w:p>
      <w:pPr>
        <w:pStyle w:val="Compact"/>
        <w:numPr>
          <w:ilvl w:val="0"/>
          <w:numId w:val="1002"/>
        </w:numPr>
      </w:pPr>
      <w:r>
        <w:t xml:space="preserve">Influencer engagement calculated by platform-native metrics</w:t>
      </w:r>
    </w:p>
    <w:p>
      <w:r>
        <w:pict>
          <v:rect style="width:0;height:1.5pt" o:hralign="center" o:hrstd="t" o:hr="t"/>
        </w:pict>
      </w:r>
    </w:p>
    <w:bookmarkEnd w:id="33"/>
    <w:bookmarkStart w:id="34" w:name="conclusion"/>
    <w:p>
      <w:pPr>
        <w:pStyle w:val="Heading2"/>
      </w:pPr>
      <w:r>
        <w:t xml:space="preserve">Conclusion</w:t>
      </w:r>
    </w:p>
    <w:p>
      <w:pPr>
        <w:pStyle w:val="FirstParagraph"/>
      </w:pPr>
      <w:r>
        <w:t xml:space="preserve">Q2 2024 exceeded targets across all major KPIs, driven by successful Southeast Asia market entry and strategic B2B enterprise focus. The influencer marketing investment delivered exceptional ROI (3.13x) and accelerated brand awareness, particularly among younger demographics. B2B pipeline development (285 qualified leads) validates enterprise product positioning. The quarter demonstrates strong execution on geographic expansion and market segmentation strategies.</w:t>
      </w:r>
    </w:p>
    <w:p>
      <w:pPr>
        <w:pStyle w:val="BodyText"/>
      </w:pPr>
      <w:r>
        <w:rPr>
          <w:b/>
          <w:bCs/>
        </w:rPr>
        <w:t xml:space="preserve">Key Learnings:</w:t>
      </w:r>
      <w:r>
        <w:t xml:space="preserve"> </w:t>
      </w:r>
      <w:r>
        <w:t xml:space="preserve">- Localized content outperforms global campaigns by 46% in emerging markets</w:t>
      </w:r>
      <w:r>
        <w:t xml:space="preserve"> </w:t>
      </w:r>
      <w:r>
        <w:t xml:space="preserve">- B2B messaging focused on ROI drives 81% higher engagement</w:t>
      </w:r>
      <w:r>
        <w:t xml:space="preserve"> </w:t>
      </w:r>
      <w:r>
        <w:t xml:space="preserve">- Influencer partnerships with micro-creators yield strong ROI (4.1x engagement rate premium)</w:t>
      </w:r>
      <w:r>
        <w:t xml:space="preserve"> </w:t>
      </w:r>
      <w:r>
        <w:t xml:space="preserve">- Local partnership model inefficient; reallocate to high-ROI channels</w:t>
      </w:r>
    </w:p>
    <w:p>
      <w:pPr>
        <w:pStyle w:val="BodyText"/>
      </w:pPr>
      <w:r>
        <w:rPr>
          <w:b/>
          <w:bCs/>
        </w:rPr>
        <w:t xml:space="preserve">Q2 Performance Grade: A</w:t>
      </w:r>
    </w:p>
    <w:p>
      <w:pPr>
        <w:pStyle w:val="BodyText"/>
      </w:pPr>
      <w:r>
        <w:rPr>
          <w:i/>
          <w:iCs/>
        </w:rPr>
        <w:t xml:space="preserve">Next Steps: Prepare for Q3 customer retention focus and Latin America pilot launch. Secure enterprise customer reference accounts for Q4 sales push.</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2026-03-24T06:46:46Z</dcterms:created>
  <dcterms:modified xsi:type="dcterms:W3CDTF">2026-03-24T06:46:46Z</dcterms:modified>
</cp:coreProperties>
</file>

<file path=docProps/custom.xml><?xml version="1.0" encoding="utf-8"?>
<Properties xmlns="http://schemas.openxmlformats.org/officeDocument/2006/custom-properties" xmlns:vt="http://schemas.openxmlformats.org/officeDocument/2006/docPropsVTypes"/>
</file>