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arketing-report---q4-2024"/>
    <w:p>
      <w:pPr>
        <w:pStyle w:val="Heading1"/>
      </w:pPr>
      <w:r>
        <w:t xml:space="preserve">Marketing Report - Q4 2024</w:t>
      </w:r>
    </w:p>
    <w:bookmarkStart w:id="20" w:name="finsolve-technologies"/>
    <w:p>
      <w:pPr>
        <w:pStyle w:val="Heading2"/>
      </w:pPr>
      <w:r>
        <w:t xml:space="preserve">FinSolve Technologies</w:t>
      </w:r>
    </w:p>
    <w:p>
      <w:pPr>
        <w:pStyle w:val="FirstParagraph"/>
      </w:pPr>
      <w:r>
        <w:rPr>
          <w:b/>
          <w:bCs/>
        </w:rPr>
        <w:t xml:space="preserve">Reporting Period:</w:t>
      </w:r>
      <w:r>
        <w:t xml:space="preserve"> </w:t>
      </w:r>
      <w:r>
        <w:t xml:space="preserve">October 1 - December 31, 2024</w:t>
      </w:r>
      <w:r>
        <w:t xml:space="preserve"> </w:t>
      </w:r>
      <w:r>
        <w:rPr>
          <w:b/>
          <w:bCs/>
        </w:rPr>
        <w:t xml:space="preserve">Currency:</w:t>
      </w:r>
      <w:r>
        <w:t xml:space="preserve"> </w:t>
      </w:r>
      <w:r>
        <w:t xml:space="preserve">INR (Indian Rupees)</w:t>
      </w:r>
      <w:r>
        <w:t xml:space="preserve"> </w:t>
      </w:r>
      <w:r>
        <w:rPr>
          <w:b/>
          <w:bCs/>
        </w:rPr>
        <w:t xml:space="preserve">Company:</w:t>
      </w:r>
      <w:r>
        <w:t xml:space="preserve"> </w:t>
      </w:r>
      <w:r>
        <w:t xml:space="preserve">FinSolve Technologies |</w:t>
      </w:r>
      <w:r>
        <w:t xml:space="preserve"> </w:t>
      </w:r>
      <w:r>
        <w:rPr>
          <w:b/>
          <w:bCs/>
        </w:rPr>
        <w:t xml:space="preserve">Location:</w:t>
      </w:r>
      <w:r>
        <w:t xml:space="preserve"> </w:t>
      </w:r>
      <w:r>
        <w:t xml:space="preserve">India</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Q4 2024 concluded the year with exceptional performance driven by holiday season campaigns, B2B enterprise focus, and year-end promotions. With a marketing budget of ₹39 Crore, FinSolve Technologies acquired 198,200 new customers and generated ₹112.4 Lakh in marketing-attributed revenue. The quarter achieved the highest quarterly ROI of 3.87x, demonstrating marketing operational excellence and successful strategic execution across all geographic markets.</w:t>
      </w:r>
    </w:p>
    <w:p>
      <w:pPr>
        <w:pStyle w:val="BodyText"/>
      </w:pPr>
      <w:r>
        <w:rPr>
          <w:b/>
          <w:bCs/>
        </w:rPr>
        <w:t xml:space="preserve">Key Metrics:</w:t>
      </w:r>
      <w:r>
        <w:t xml:space="preserve"> </w:t>
      </w:r>
      <w:r>
        <w:t xml:space="preserve">- Total Marketing Spend: ₹39 Crore</w:t>
      </w:r>
      <w:r>
        <w:t xml:space="preserve"> </w:t>
      </w:r>
      <w:r>
        <w:t xml:space="preserve">- New Customer Acquisitions: 198,200 (+13% QoQ)</w:t>
      </w:r>
      <w:r>
        <w:t xml:space="preserve"> </w:t>
      </w:r>
      <w:r>
        <w:t xml:space="preserve">- Marketing-Attributed Revenue: ₹112.4 Lakh (+22.4% QoQ)</w:t>
      </w:r>
      <w:r>
        <w:t xml:space="preserve"> </w:t>
      </w:r>
      <w:r>
        <w:t xml:space="preserve">- Average ROI: 3.87x (highest of year)</w:t>
      </w:r>
      <w:r>
        <w:t xml:space="preserve"> </w:t>
      </w:r>
      <w:r>
        <w:t xml:space="preserve">- Customer Acquisition Cost (CAC): ₹1,968 per customer</w:t>
      </w:r>
      <w:r>
        <w:t xml:space="preserve"> </w:t>
      </w:r>
      <w:r>
        <w:t xml:space="preserve">- B2B Enterprise Revenue: ₹38.5 Lakh (34.3% of total Q4 revenue)</w:t>
      </w:r>
      <w:r>
        <w:t xml:space="preserve"> </w:t>
      </w:r>
      <w:r>
        <w:t xml:space="preserve">- Holiday Season Campaigns Revenue: ₹52.1 Lakh (46.4% of total Q4 revenue)</w:t>
      </w:r>
    </w:p>
    <w:p>
      <w:r>
        <w:pict>
          <v:rect style="width:0;height:1.5pt" o:hralign="center" o:hrstd="t" o:hr="t"/>
        </w:pict>
      </w:r>
    </w:p>
    <w:bookmarkEnd w:id="21"/>
    <w:bookmarkStart w:id="22" w:name="campaign-performance-summary"/>
    <w:p>
      <w:pPr>
        <w:pStyle w:val="Heading2"/>
      </w:pPr>
      <w:r>
        <w:t xml:space="preserve">Campaign Performance Summary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Campaign Name</w:t>
            </w:r>
          </w:p>
        </w:tc>
        <w:tc>
          <w:tcPr/>
          <w:p>
            <w:pPr>
              <w:pStyle w:val="Compact"/>
              <w:jc w:val="left"/>
            </w:pPr>
            <w:r>
              <w:t xml:space="preserve">Channel</w:t>
            </w:r>
          </w:p>
        </w:tc>
        <w:tc>
          <w:tcPr/>
          <w:p>
            <w:pPr>
              <w:pStyle w:val="Compact"/>
              <w:jc w:val="left"/>
            </w:pPr>
            <w:r>
              <w:t xml:space="preserve">Spend (₹L)</w:t>
            </w:r>
          </w:p>
        </w:tc>
        <w:tc>
          <w:tcPr/>
          <w:p>
            <w:pPr>
              <w:pStyle w:val="Compact"/>
              <w:jc w:val="left"/>
            </w:pPr>
            <w:r>
              <w:t xml:space="preserve">Impressions</w:t>
            </w:r>
          </w:p>
        </w:tc>
        <w:tc>
          <w:tcPr/>
          <w:p>
            <w:pPr>
              <w:pStyle w:val="Compact"/>
              <w:jc w:val="left"/>
            </w:pPr>
            <w:r>
              <w:t xml:space="preserve">Clicks</w:t>
            </w:r>
          </w:p>
        </w:tc>
        <w:tc>
          <w:tcPr/>
          <w:p>
            <w:pPr>
              <w:pStyle w:val="Compact"/>
              <w:jc w:val="left"/>
            </w:pPr>
            <w:r>
              <w:t xml:space="preserve">Conversions</w:t>
            </w:r>
          </w:p>
        </w:tc>
        <w:tc>
          <w:tcPr/>
          <w:p>
            <w:pPr>
              <w:pStyle w:val="Compact"/>
              <w:jc w:val="left"/>
            </w:pPr>
            <w:r>
              <w:t xml:space="preserve">Revenue (₹L)</w:t>
            </w:r>
          </w:p>
        </w:tc>
        <w:tc>
          <w:tcPr/>
          <w:p>
            <w:pPr>
              <w:pStyle w:val="Compact"/>
              <w:jc w:val="left"/>
            </w:pPr>
            <w:r>
              <w:t xml:space="preserve">ROI</w:t>
            </w:r>
          </w:p>
        </w:tc>
        <w:tc>
          <w:tcPr/>
          <w:p>
            <w:pPr>
              <w:pStyle w:val="Compact"/>
              <w:jc w:val="left"/>
            </w:pPr>
            <w:r>
              <w:t xml:space="preserve">Status</w:t>
            </w:r>
          </w:p>
        </w:tc>
      </w:tr>
      <w:tr>
        <w:tc>
          <w:tcPr/>
          <w:p>
            <w:pPr>
              <w:pStyle w:val="Compact"/>
              <w:jc w:val="left"/>
            </w:pPr>
            <w:r>
              <w:t xml:space="preserve">Black Friday / Cyber Monday Campaign</w:t>
            </w:r>
          </w:p>
        </w:tc>
        <w:tc>
          <w:tcPr/>
          <w:p>
            <w:pPr>
              <w:pStyle w:val="Compact"/>
              <w:jc w:val="left"/>
            </w:pPr>
            <w:r>
              <w:t xml:space="preserve">Multi-channel</w:t>
            </w:r>
          </w:p>
        </w:tc>
        <w:tc>
          <w:tcPr/>
          <w:p>
            <w:pPr>
              <w:pStyle w:val="Compact"/>
              <w:jc w:val="left"/>
            </w:pPr>
            <w:r>
              <w:t xml:space="preserve">72</w:t>
            </w:r>
          </w:p>
        </w:tc>
        <w:tc>
          <w:tcPr/>
          <w:p>
            <w:pPr>
              <w:pStyle w:val="Compact"/>
              <w:jc w:val="left"/>
            </w:pPr>
            <w:r>
              <w:t xml:space="preserve">4,200,000</w:t>
            </w:r>
          </w:p>
        </w:tc>
        <w:tc>
          <w:tcPr/>
          <w:p>
            <w:pPr>
              <w:pStyle w:val="Compact"/>
              <w:jc w:val="left"/>
            </w:pPr>
            <w:r>
              <w:t xml:space="preserve">98,500</w:t>
            </w:r>
          </w:p>
        </w:tc>
        <w:tc>
          <w:tcPr/>
          <w:p>
            <w:pPr>
              <w:pStyle w:val="Compact"/>
              <w:jc w:val="left"/>
            </w:pPr>
            <w:r>
              <w:t xml:space="preserve">19,700</w:t>
            </w:r>
          </w:p>
        </w:tc>
        <w:tc>
          <w:tcPr/>
          <w:p>
            <w:pPr>
              <w:pStyle w:val="Compact"/>
              <w:jc w:val="left"/>
            </w:pPr>
            <w:r>
              <w:t xml:space="preserve">52.1</w:t>
            </w:r>
          </w:p>
        </w:tc>
        <w:tc>
          <w:tcPr/>
          <w:p>
            <w:pPr>
              <w:pStyle w:val="Compact"/>
              <w:jc w:val="left"/>
            </w:pPr>
            <w:r>
              <w:t xml:space="preserve">3.64x</w:t>
            </w:r>
          </w:p>
        </w:tc>
        <w:tc>
          <w:tcPr/>
          <w:p>
            <w:pPr>
              <w:pStyle w:val="Compact"/>
              <w:jc w:val="left"/>
            </w:pPr>
            <w:r>
              <w:t xml:space="preserve">Completed</w:t>
            </w:r>
          </w:p>
        </w:tc>
      </w:tr>
      <w:tr>
        <w:tc>
          <w:tcPr/>
          <w:p>
            <w:pPr>
              <w:pStyle w:val="Compact"/>
              <w:jc w:val="left"/>
            </w:pPr>
            <w:r>
              <w:t xml:space="preserve">Year-End Holiday Promotions</w:t>
            </w:r>
          </w:p>
        </w:tc>
        <w:tc>
          <w:tcPr/>
          <w:p>
            <w:pPr>
              <w:pStyle w:val="Compact"/>
              <w:jc w:val="left"/>
            </w:pPr>
            <w:r>
              <w:t xml:space="preserve">Email/In-app</w:t>
            </w:r>
          </w:p>
        </w:tc>
        <w:tc>
          <w:tcPr/>
          <w:p>
            <w:pPr>
              <w:pStyle w:val="Compact"/>
              <w:jc w:val="left"/>
            </w:pPr>
            <w:r>
              <w:t xml:space="preserve">55</w:t>
            </w:r>
          </w:p>
        </w:tc>
        <w:tc>
          <w:tcPr/>
          <w:p>
            <w:pPr>
              <w:pStyle w:val="Compact"/>
              <w:jc w:val="left"/>
            </w:pPr>
            <w:r>
              <w:t xml:space="preserve">2,100,000</w:t>
            </w:r>
          </w:p>
        </w:tc>
        <w:tc>
          <w:tcPr/>
          <w:p>
            <w:pPr>
              <w:pStyle w:val="Compact"/>
              <w:jc w:val="left"/>
            </w:pPr>
            <w:r>
              <w:t xml:space="preserve">42,800</w:t>
            </w:r>
          </w:p>
        </w:tc>
        <w:tc>
          <w:tcPr/>
          <w:p>
            <w:pPr>
              <w:pStyle w:val="Compact"/>
              <w:jc w:val="left"/>
            </w:pPr>
            <w:r>
              <w:t xml:space="preserve">8,560</w:t>
            </w:r>
          </w:p>
        </w:tc>
        <w:tc>
          <w:tcPr/>
          <w:p>
            <w:pPr>
              <w:pStyle w:val="Compact"/>
              <w:jc w:val="left"/>
            </w:pPr>
            <w:r>
              <w:t xml:space="preserve">25.7</w:t>
            </w:r>
          </w:p>
        </w:tc>
        <w:tc>
          <w:tcPr/>
          <w:p>
            <w:pPr>
              <w:pStyle w:val="Compact"/>
              <w:jc w:val="left"/>
            </w:pPr>
            <w:r>
              <w:t xml:space="preserve">2.34x</w:t>
            </w:r>
          </w:p>
        </w:tc>
        <w:tc>
          <w:tcPr/>
          <w:p>
            <w:pPr>
              <w:pStyle w:val="Compact"/>
              <w:jc w:val="left"/>
            </w:pPr>
            <w:r>
              <w:t xml:space="preserve">Completed</w:t>
            </w:r>
          </w:p>
        </w:tc>
      </w:tr>
      <w:tr>
        <w:tc>
          <w:tcPr/>
          <w:p>
            <w:pPr>
              <w:pStyle w:val="Compact"/>
              <w:jc w:val="left"/>
            </w:pPr>
            <w:r>
              <w:t xml:space="preserve">B2B Enterprise Holiday Push</w:t>
            </w:r>
          </w:p>
        </w:tc>
        <w:tc>
          <w:tcPr/>
          <w:p>
            <w:pPr>
              <w:pStyle w:val="Compact"/>
              <w:jc w:val="left"/>
            </w:pPr>
            <w:r>
              <w:t xml:space="preserve">LinkedIn/Email</w:t>
            </w:r>
          </w:p>
        </w:tc>
        <w:tc>
          <w:tcPr/>
          <w:p>
            <w:pPr>
              <w:pStyle w:val="Compact"/>
              <w:jc w:val="left"/>
            </w:pPr>
            <w:r>
              <w:t xml:space="preserve">58</w:t>
            </w:r>
          </w:p>
        </w:tc>
        <w:tc>
          <w:tcPr/>
          <w:p>
            <w:pPr>
              <w:pStyle w:val="Compact"/>
              <w:jc w:val="left"/>
            </w:pPr>
            <w:r>
              <w:t xml:space="preserve">680,000</w:t>
            </w:r>
          </w:p>
        </w:tc>
        <w:tc>
          <w:tcPr/>
          <w:p>
            <w:pPr>
              <w:pStyle w:val="Compact"/>
              <w:jc w:val="left"/>
            </w:pPr>
            <w:r>
              <w:t xml:space="preserve">28,900</w:t>
            </w:r>
          </w:p>
        </w:tc>
        <w:tc>
          <w:tcPr/>
          <w:p>
            <w:pPr>
              <w:pStyle w:val="Compact"/>
              <w:jc w:val="left"/>
            </w:pPr>
            <w:r>
              <w:t xml:space="preserve">5,780</w:t>
            </w:r>
          </w:p>
        </w:tc>
        <w:tc>
          <w:tcPr/>
          <w:p>
            <w:pPr>
              <w:pStyle w:val="Compact"/>
              <w:jc w:val="left"/>
            </w:pPr>
            <w:r>
              <w:t xml:space="preserve">38.5</w:t>
            </w:r>
          </w:p>
        </w:tc>
        <w:tc>
          <w:tcPr/>
          <w:p>
            <w:pPr>
              <w:pStyle w:val="Compact"/>
              <w:jc w:val="left"/>
            </w:pPr>
            <w:r>
              <w:t xml:space="preserve">3.31x</w:t>
            </w:r>
          </w:p>
        </w:tc>
        <w:tc>
          <w:tcPr/>
          <w:p>
            <w:pPr>
              <w:pStyle w:val="Compact"/>
              <w:jc w:val="left"/>
            </w:pPr>
            <w:r>
              <w:t xml:space="preserve">Completed</w:t>
            </w:r>
          </w:p>
        </w:tc>
      </w:tr>
      <w:tr>
        <w:tc>
          <w:tcPr/>
          <w:p>
            <w:pPr>
              <w:pStyle w:val="Compact"/>
              <w:jc w:val="left"/>
            </w:pPr>
            <w:r>
              <w:t xml:space="preserve">Paid Search - Holiday Keywords</w:t>
            </w:r>
          </w:p>
        </w:tc>
        <w:tc>
          <w:tcPr/>
          <w:p>
            <w:pPr>
              <w:pStyle w:val="Compact"/>
              <w:jc w:val="left"/>
            </w:pPr>
            <w:r>
              <w:t xml:space="preserve">Google Ads</w:t>
            </w:r>
          </w:p>
        </w:tc>
        <w:tc>
          <w:tcPr/>
          <w:p>
            <w:pPr>
              <w:pStyle w:val="Compact"/>
              <w:jc w:val="left"/>
            </w:pPr>
            <w:r>
              <w:t xml:space="preserve">45</w:t>
            </w:r>
          </w:p>
        </w:tc>
        <w:tc>
          <w:tcPr/>
          <w:p>
            <w:pPr>
              <w:pStyle w:val="Compact"/>
              <w:jc w:val="left"/>
            </w:pPr>
            <w:r>
              <w:t xml:space="preserve">2,100,000</w:t>
            </w:r>
          </w:p>
        </w:tc>
        <w:tc>
          <w:tcPr/>
          <w:p>
            <w:pPr>
              <w:pStyle w:val="Compact"/>
              <w:jc w:val="left"/>
            </w:pPr>
            <w:r>
              <w:t xml:space="preserve">52,300</w:t>
            </w:r>
          </w:p>
        </w:tc>
        <w:tc>
          <w:tcPr/>
          <w:p>
            <w:pPr>
              <w:pStyle w:val="Compact"/>
              <w:jc w:val="left"/>
            </w:pPr>
            <w:r>
              <w:t xml:space="preserve">10,460</w:t>
            </w:r>
          </w:p>
        </w:tc>
        <w:tc>
          <w:tcPr/>
          <w:p>
            <w:pPr>
              <w:pStyle w:val="Compact"/>
              <w:jc w:val="left"/>
            </w:pPr>
            <w:r>
              <w:t xml:space="preserve">31.4</w:t>
            </w:r>
          </w:p>
        </w:tc>
        <w:tc>
          <w:tcPr/>
          <w:p>
            <w:pPr>
              <w:pStyle w:val="Compact"/>
              <w:jc w:val="left"/>
            </w:pPr>
            <w:r>
              <w:t xml:space="preserve">3.49x</w:t>
            </w:r>
          </w:p>
        </w:tc>
        <w:tc>
          <w:tcPr/>
          <w:p>
            <w:pPr>
              <w:pStyle w:val="Compact"/>
              <w:jc w:val="left"/>
            </w:pPr>
            <w:r>
              <w:t xml:space="preserve">Completed</w:t>
            </w:r>
          </w:p>
        </w:tc>
      </w:tr>
      <w:tr>
        <w:tc>
          <w:tcPr/>
          <w:p>
            <w:pPr>
              <w:pStyle w:val="Compact"/>
              <w:jc w:val="left"/>
            </w:pPr>
            <w:r>
              <w:t xml:space="preserve">Video Content - Year-End Review</w:t>
            </w:r>
          </w:p>
        </w:tc>
        <w:tc>
          <w:tcPr/>
          <w:p>
            <w:pPr>
              <w:pStyle w:val="Compact"/>
              <w:jc w:val="left"/>
            </w:pPr>
            <w:r>
              <w:t xml:space="preserve">YouTube, TikTok</w:t>
            </w:r>
          </w:p>
        </w:tc>
        <w:tc>
          <w:tcPr/>
          <w:p>
            <w:pPr>
              <w:pStyle w:val="Compact"/>
              <w:jc w:val="left"/>
            </w:pPr>
            <w:r>
              <w:t xml:space="preserve">42</w:t>
            </w:r>
          </w:p>
        </w:tc>
        <w:tc>
          <w:tcPr/>
          <w:p>
            <w:pPr>
              <w:pStyle w:val="Compact"/>
              <w:jc w:val="left"/>
            </w:pPr>
            <w:r>
              <w:t xml:space="preserve">3,800,000</w:t>
            </w:r>
          </w:p>
        </w:tc>
        <w:tc>
          <w:tcPr/>
          <w:p>
            <w:pPr>
              <w:pStyle w:val="Compact"/>
              <w:jc w:val="left"/>
            </w:pPr>
            <w:r>
              <w:t xml:space="preserve">64,200</w:t>
            </w:r>
          </w:p>
        </w:tc>
        <w:tc>
          <w:tcPr/>
          <w:p>
            <w:pPr>
              <w:pStyle w:val="Compact"/>
              <w:jc w:val="left"/>
            </w:pPr>
            <w:r>
              <w:t xml:space="preserve">12,840</w:t>
            </w:r>
          </w:p>
        </w:tc>
        <w:tc>
          <w:tcPr/>
          <w:p>
            <w:pPr>
              <w:pStyle w:val="Compact"/>
              <w:jc w:val="left"/>
            </w:pPr>
            <w:r>
              <w:t xml:space="preserve">38.5</w:t>
            </w:r>
          </w:p>
        </w:tc>
        <w:tc>
          <w:tcPr/>
          <w:p>
            <w:pPr>
              <w:pStyle w:val="Compact"/>
              <w:jc w:val="left"/>
            </w:pPr>
            <w:r>
              <w:t xml:space="preserve">4.58x</w:t>
            </w:r>
          </w:p>
        </w:tc>
        <w:tc>
          <w:tcPr/>
          <w:p>
            <w:pPr>
              <w:pStyle w:val="Compact"/>
              <w:jc w:val="left"/>
            </w:pPr>
            <w:r>
              <w:t xml:space="preserve">Completed</w:t>
            </w:r>
          </w:p>
        </w:tc>
      </w:tr>
      <w:tr>
        <w:tc>
          <w:tcPr/>
          <w:p>
            <w:pPr>
              <w:pStyle w:val="Compact"/>
              <w:jc w:val="left"/>
            </w:pPr>
            <w:r>
              <w:t xml:space="preserve">Loyalty Program - Rewards Redemption</w:t>
            </w:r>
          </w:p>
        </w:tc>
        <w:tc>
          <w:tcPr/>
          <w:p>
            <w:pPr>
              <w:pStyle w:val="Compact"/>
              <w:jc w:val="left"/>
            </w:pPr>
            <w:r>
              <w:t xml:space="preserve">Email/In-app</w:t>
            </w:r>
          </w:p>
        </w:tc>
        <w:tc>
          <w:tcPr/>
          <w:p>
            <w:pPr>
              <w:pStyle w:val="Compact"/>
              <w:jc w:val="left"/>
            </w:pPr>
            <w:r>
              <w:t xml:space="preserve">38</w:t>
            </w:r>
          </w:p>
        </w:tc>
        <w:tc>
          <w:tcPr/>
          <w:p>
            <w:pPr>
              <w:pStyle w:val="Compact"/>
              <w:jc w:val="left"/>
            </w:pPr>
            <w:r>
              <w:t xml:space="preserve">1,600,000</w:t>
            </w:r>
          </w:p>
        </w:tc>
        <w:tc>
          <w:tcPr/>
          <w:p>
            <w:pPr>
              <w:pStyle w:val="Compact"/>
              <w:jc w:val="left"/>
            </w:pPr>
            <w:r>
              <w:t xml:space="preserve">22,400</w:t>
            </w:r>
          </w:p>
        </w:tc>
        <w:tc>
          <w:tcPr/>
          <w:p>
            <w:pPr>
              <w:pStyle w:val="Compact"/>
              <w:jc w:val="left"/>
            </w:pPr>
            <w:r>
              <w:t xml:space="preserve">4,480</w:t>
            </w:r>
          </w:p>
        </w:tc>
        <w:tc>
          <w:tcPr/>
          <w:p>
            <w:pPr>
              <w:pStyle w:val="Compact"/>
              <w:jc w:val="left"/>
            </w:pPr>
            <w:r>
              <w:t xml:space="preserve">13.4</w:t>
            </w:r>
          </w:p>
        </w:tc>
        <w:tc>
          <w:tcPr/>
          <w:p>
            <w:pPr>
              <w:pStyle w:val="Compact"/>
              <w:jc w:val="left"/>
            </w:pPr>
            <w:r>
              <w:t xml:space="preserve">1.76x</w:t>
            </w:r>
          </w:p>
        </w:tc>
        <w:tc>
          <w:tcPr/>
          <w:p>
            <w:pPr>
              <w:pStyle w:val="Compact"/>
              <w:jc w:val="left"/>
            </w:pPr>
            <w:r>
              <w:t xml:space="preserve">Completed</w:t>
            </w:r>
          </w:p>
        </w:tc>
      </w:tr>
      <w:tr>
        <w:tc>
          <w:tcPr/>
          <w:p>
            <w:pPr>
              <w:pStyle w:val="Compact"/>
              <w:jc w:val="left"/>
            </w:pPr>
            <w:r>
              <w:t xml:space="preserve">New Market Expansion - LATAM</w:t>
            </w:r>
          </w:p>
        </w:tc>
        <w:tc>
          <w:tcPr/>
          <w:p>
            <w:pPr>
              <w:pStyle w:val="Compact"/>
              <w:jc w:val="left"/>
            </w:pPr>
            <w:r>
              <w:t xml:space="preserve">Digital Ads</w:t>
            </w:r>
          </w:p>
        </w:tc>
        <w:tc>
          <w:tcPr/>
          <w:p>
            <w:pPr>
              <w:pStyle w:val="Compact"/>
              <w:jc w:val="left"/>
            </w:pPr>
            <w:r>
              <w:t xml:space="preserve">32</w:t>
            </w:r>
          </w:p>
        </w:tc>
        <w:tc>
          <w:tcPr/>
          <w:p>
            <w:pPr>
              <w:pStyle w:val="Compact"/>
              <w:jc w:val="left"/>
            </w:pPr>
            <w:r>
              <w:t xml:space="preserve">1,800,000</w:t>
            </w:r>
          </w:p>
        </w:tc>
        <w:tc>
          <w:tcPr/>
          <w:p>
            <w:pPr>
              <w:pStyle w:val="Compact"/>
              <w:jc w:val="left"/>
            </w:pPr>
            <w:r>
              <w:t xml:space="preserve">38,500</w:t>
            </w:r>
          </w:p>
        </w:tc>
        <w:tc>
          <w:tcPr/>
          <w:p>
            <w:pPr>
              <w:pStyle w:val="Compact"/>
              <w:jc w:val="left"/>
            </w:pPr>
            <w:r>
              <w:t xml:space="preserve">7,700</w:t>
            </w:r>
          </w:p>
        </w:tc>
        <w:tc>
          <w:tcPr/>
          <w:p>
            <w:pPr>
              <w:pStyle w:val="Compact"/>
              <w:jc w:val="left"/>
            </w:pPr>
            <w:r>
              <w:t xml:space="preserve">23.1</w:t>
            </w:r>
          </w:p>
        </w:tc>
        <w:tc>
          <w:tcPr/>
          <w:p>
            <w:pPr>
              <w:pStyle w:val="Compact"/>
              <w:jc w:val="left"/>
            </w:pPr>
            <w:r>
              <w:t xml:space="preserve">3.59x</w:t>
            </w:r>
          </w:p>
        </w:tc>
        <w:tc>
          <w:tcPr/>
          <w:p>
            <w:pPr>
              <w:pStyle w:val="Compact"/>
              <w:jc w:val="left"/>
            </w:pPr>
            <w:r>
              <w:t xml:space="preserve">Completed</w:t>
            </w:r>
          </w:p>
        </w:tc>
      </w:tr>
      <w:tr>
        <w:tc>
          <w:tcPr/>
          <w:p>
            <w:pPr>
              <w:pStyle w:val="Compact"/>
              <w:jc w:val="left"/>
            </w:pPr>
            <w:r>
              <w:t xml:space="preserve">SMS &amp; Push Notification Campaigns</w:t>
            </w:r>
          </w:p>
        </w:tc>
        <w:tc>
          <w:tcPr/>
          <w:p>
            <w:pPr>
              <w:pStyle w:val="Compact"/>
              <w:jc w:val="left"/>
            </w:pPr>
            <w:r>
              <w:t xml:space="preserve">SMS/Push</w:t>
            </w:r>
          </w:p>
        </w:tc>
        <w:tc>
          <w:tcPr/>
          <w:p>
            <w:pPr>
              <w:pStyle w:val="Compact"/>
              <w:jc w:val="left"/>
            </w:pPr>
            <w:r>
              <w:t xml:space="preserve">18</w:t>
            </w:r>
          </w:p>
        </w:tc>
        <w:tc>
          <w:tcPr/>
          <w:p>
            <w:pPr>
              <w:pStyle w:val="Compact"/>
              <w:jc w:val="left"/>
            </w:pPr>
            <w:r>
              <w:t xml:space="preserve">2,500,000</w:t>
            </w:r>
          </w:p>
        </w:tc>
        <w:tc>
          <w:tcPr/>
          <w:p>
            <w:pPr>
              <w:pStyle w:val="Compact"/>
              <w:jc w:val="left"/>
            </w:pPr>
            <w:r>
              <w:t xml:space="preserve">18,500</w:t>
            </w:r>
          </w:p>
        </w:tc>
        <w:tc>
          <w:tcPr/>
          <w:p>
            <w:pPr>
              <w:pStyle w:val="Compact"/>
              <w:jc w:val="left"/>
            </w:pPr>
            <w:r>
              <w:t xml:space="preserve">3,700</w:t>
            </w:r>
          </w:p>
        </w:tc>
        <w:tc>
          <w:tcPr/>
          <w:p>
            <w:pPr>
              <w:pStyle w:val="Compact"/>
              <w:jc w:val="left"/>
            </w:pPr>
            <w:r>
              <w:t xml:space="preserve">11.1</w:t>
            </w:r>
          </w:p>
        </w:tc>
        <w:tc>
          <w:tcPr/>
          <w:p>
            <w:pPr>
              <w:pStyle w:val="Compact"/>
              <w:jc w:val="left"/>
            </w:pPr>
            <w:r>
              <w:t xml:space="preserve">3.08x</w:t>
            </w:r>
          </w:p>
        </w:tc>
        <w:tc>
          <w:tcPr/>
          <w:p>
            <w:pPr>
              <w:pStyle w:val="Compact"/>
              <w:jc w:val="left"/>
            </w:pPr>
            <w:r>
              <w:t xml:space="preserve">Completed</w:t>
            </w:r>
          </w:p>
        </w:tc>
      </w:tr>
      <w:tr>
        <w:tc>
          <w:tcPr/>
          <w:p>
            <w:pPr>
              <w:pStyle w:val="Compact"/>
              <w:jc w:val="left"/>
            </w:pPr>
            <w:r>
              <w:t xml:space="preserve">Content Marketing &amp; Guides</w:t>
            </w:r>
          </w:p>
        </w:tc>
        <w:tc>
          <w:tcPr/>
          <w:p>
            <w:pPr>
              <w:pStyle w:val="Compact"/>
              <w:jc w:val="left"/>
            </w:pPr>
            <w:r>
              <w:t xml:space="preserve">Organic + Paid</w:t>
            </w:r>
          </w:p>
        </w:tc>
        <w:tc>
          <w:tcPr/>
          <w:p>
            <w:pPr>
              <w:pStyle w:val="Compact"/>
              <w:jc w:val="left"/>
            </w:pPr>
            <w:r>
              <w:t xml:space="preserve">28</w:t>
            </w:r>
          </w:p>
        </w:tc>
        <w:tc>
          <w:tcPr/>
          <w:p>
            <w:pPr>
              <w:pStyle w:val="Compact"/>
              <w:jc w:val="left"/>
            </w:pPr>
            <w:r>
              <w:t xml:space="preserve">1,220,000</w:t>
            </w:r>
          </w:p>
        </w:tc>
        <w:tc>
          <w:tcPr/>
          <w:p>
            <w:pPr>
              <w:pStyle w:val="Compact"/>
              <w:jc w:val="left"/>
            </w:pPr>
            <w:r>
              <w:t xml:space="preserve">14,200</w:t>
            </w:r>
          </w:p>
        </w:tc>
        <w:tc>
          <w:tcPr/>
          <w:p>
            <w:pPr>
              <w:pStyle w:val="Compact"/>
              <w:jc w:val="left"/>
            </w:pPr>
            <w:r>
              <w:t xml:space="preserve">2,840</w:t>
            </w:r>
          </w:p>
        </w:tc>
        <w:tc>
          <w:tcPr/>
          <w:p>
            <w:pPr>
              <w:pStyle w:val="Compact"/>
              <w:jc w:val="left"/>
            </w:pPr>
            <w:r>
              <w:t xml:space="preserve">8.5</w:t>
            </w:r>
          </w:p>
        </w:tc>
        <w:tc>
          <w:tcPr/>
          <w:p>
            <w:pPr>
              <w:pStyle w:val="Compact"/>
              <w:jc w:val="left"/>
            </w:pPr>
            <w:r>
              <w:t xml:space="preserve">1.52x</w:t>
            </w:r>
          </w:p>
        </w:tc>
        <w:tc>
          <w:tcPr/>
          <w:p>
            <w:pPr>
              <w:pStyle w:val="Compact"/>
              <w:jc w:val="left"/>
            </w:pPr>
            <w:r>
              <w:t xml:space="preserve">Completed</w:t>
            </w:r>
          </w:p>
        </w:tc>
      </w:tr>
      <w:tr>
        <w:tc>
          <w:tcPr/>
          <w:p>
            <w:pPr>
              <w:pStyle w:val="Compact"/>
              <w:jc w:val="left"/>
            </w:pPr>
            <w:r>
              <w:t xml:space="preserve">Influencer Final Push</w:t>
            </w:r>
          </w:p>
        </w:tc>
        <w:tc>
          <w:tcPr/>
          <w:p>
            <w:pPr>
              <w:pStyle w:val="Compact"/>
              <w:jc w:val="left"/>
            </w:pPr>
            <w:r>
              <w:t xml:space="preserve">Social Media</w:t>
            </w:r>
          </w:p>
        </w:tc>
        <w:tc>
          <w:tcPr/>
          <w:p>
            <w:pPr>
              <w:pStyle w:val="Compact"/>
              <w:jc w:val="left"/>
            </w:pPr>
            <w:r>
              <w:t xml:space="preserve">32</w:t>
            </w:r>
          </w:p>
        </w:tc>
        <w:tc>
          <w:tcPr/>
          <w:p>
            <w:pPr>
              <w:pStyle w:val="Compact"/>
              <w:jc w:val="left"/>
            </w:pPr>
            <w:r>
              <w:t xml:space="preserve">2,400,000</w:t>
            </w:r>
          </w:p>
        </w:tc>
        <w:tc>
          <w:tcPr/>
          <w:p>
            <w:pPr>
              <w:pStyle w:val="Compact"/>
              <w:jc w:val="left"/>
            </w:pPr>
            <w:r>
              <w:t xml:space="preserve">32,100</w:t>
            </w:r>
          </w:p>
        </w:tc>
        <w:tc>
          <w:tcPr/>
          <w:p>
            <w:pPr>
              <w:pStyle w:val="Compact"/>
              <w:jc w:val="left"/>
            </w:pPr>
            <w:r>
              <w:t xml:space="preserve">6,420</w:t>
            </w:r>
          </w:p>
        </w:tc>
        <w:tc>
          <w:tcPr/>
          <w:p>
            <w:pPr>
              <w:pStyle w:val="Compact"/>
              <w:jc w:val="left"/>
            </w:pPr>
            <w:r>
              <w:t xml:space="preserve">19.3</w:t>
            </w:r>
          </w:p>
        </w:tc>
        <w:tc>
          <w:tcPr/>
          <w:p>
            <w:pPr>
              <w:pStyle w:val="Compact"/>
              <w:jc w:val="left"/>
            </w:pPr>
            <w:r>
              <w:t xml:space="preserve">3.03x</w:t>
            </w:r>
          </w:p>
        </w:tc>
        <w:tc>
          <w:tcPr/>
          <w:p>
            <w:pPr>
              <w:pStyle w:val="Compact"/>
              <w:jc w:val="left"/>
            </w:pPr>
            <w:r>
              <w:t xml:space="preserve">Completed</w:t>
            </w:r>
          </w:p>
        </w:tc>
      </w:tr>
    </w:tbl>
    <w:p>
      <w:pPr>
        <w:pStyle w:val="BodyText"/>
      </w:pPr>
      <w:r>
        <w:rPr>
          <w:b/>
          <w:bCs/>
        </w:rPr>
        <w:t xml:space="preserve">Q4 Total Campaign Spend: ₹420 Lakh | Q4 Total Revenue: ₹262.6 Lakh | Blended ROI: 3.25x</w:t>
      </w:r>
    </w:p>
    <w:p>
      <w:r>
        <w:pict>
          <v:rect style="width:0;height:1.5pt" o:hralign="center" o:hrstd="t" o:hr="t"/>
        </w:pict>
      </w:r>
    </w:p>
    <w:bookmarkEnd w:id="22"/>
    <w:bookmarkStart w:id="23" w:name="channel-wise-breakdown"/>
    <w:p>
      <w:pPr>
        <w:pStyle w:val="Heading2"/>
      </w:pPr>
      <w:r>
        <w:t xml:space="preserve">Channel-Wise Breakdown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Channel</w:t>
            </w:r>
          </w:p>
        </w:tc>
        <w:tc>
          <w:tcPr/>
          <w:p>
            <w:pPr>
              <w:pStyle w:val="Compact"/>
              <w:jc w:val="left"/>
            </w:pPr>
            <w:r>
              <w:t xml:space="preserve">Spend (₹L)</w:t>
            </w:r>
          </w:p>
        </w:tc>
        <w:tc>
          <w:tcPr/>
          <w:p>
            <w:pPr>
              <w:pStyle w:val="Compact"/>
              <w:jc w:val="left"/>
            </w:pPr>
            <w:r>
              <w:t xml:space="preserve">Leads Generated</w:t>
            </w:r>
          </w:p>
        </w:tc>
        <w:tc>
          <w:tcPr/>
          <w:p>
            <w:pPr>
              <w:pStyle w:val="Compact"/>
              <w:jc w:val="left"/>
            </w:pPr>
            <w:r>
              <w:t xml:space="preserve">Conversions</w:t>
            </w:r>
          </w:p>
        </w:tc>
        <w:tc>
          <w:tcPr/>
          <w:p>
            <w:pPr>
              <w:pStyle w:val="Compact"/>
              <w:jc w:val="left"/>
            </w:pPr>
            <w:r>
              <w:t xml:space="preserve">CAC (₹)</w:t>
            </w:r>
          </w:p>
        </w:tc>
        <w:tc>
          <w:tcPr/>
          <w:p>
            <w:pPr>
              <w:pStyle w:val="Compact"/>
              <w:jc w:val="left"/>
            </w:pPr>
            <w:r>
              <w:t xml:space="preserve">ROAS</w:t>
            </w:r>
          </w:p>
        </w:tc>
        <w:tc>
          <w:tcPr/>
          <w:p>
            <w:pPr>
              <w:pStyle w:val="Compact"/>
              <w:jc w:val="left"/>
            </w:pPr>
            <w:r>
              <w:t xml:space="preserve">Performance Rating</w:t>
            </w:r>
          </w:p>
        </w:tc>
      </w:tr>
      <w:tr>
        <w:tc>
          <w:tcPr/>
          <w:p>
            <w:pPr>
              <w:pStyle w:val="Compact"/>
              <w:jc w:val="left"/>
            </w:pPr>
            <w:r>
              <w:t xml:space="preserve">Digital Ads (Google, Facebook, LinkedIn)</w:t>
            </w:r>
          </w:p>
        </w:tc>
        <w:tc>
          <w:tcPr/>
          <w:p>
            <w:pPr>
              <w:pStyle w:val="Compact"/>
              <w:jc w:val="left"/>
            </w:pPr>
            <w:r>
              <w:t xml:space="preserve">177</w:t>
            </w:r>
          </w:p>
        </w:tc>
        <w:tc>
          <w:tcPr/>
          <w:p>
            <w:pPr>
              <w:pStyle w:val="Compact"/>
              <w:jc w:val="left"/>
            </w:pPr>
            <w:r>
              <w:t xml:space="preserve">195,000</w:t>
            </w:r>
          </w:p>
        </w:tc>
        <w:tc>
          <w:tcPr/>
          <w:p>
            <w:pPr>
              <w:pStyle w:val="Compact"/>
              <w:jc w:val="left"/>
            </w:pPr>
            <w:r>
              <w:t xml:space="preserve">39,000</w:t>
            </w:r>
          </w:p>
        </w:tc>
        <w:tc>
          <w:tcPr/>
          <w:p>
            <w:pPr>
              <w:pStyle w:val="Compact"/>
              <w:jc w:val="left"/>
            </w:pPr>
            <w:r>
              <w:t xml:space="preserve">4,538</w:t>
            </w:r>
          </w:p>
        </w:tc>
        <w:tc>
          <w:tcPr/>
          <w:p>
            <w:pPr>
              <w:pStyle w:val="Compact"/>
              <w:jc w:val="left"/>
            </w:pPr>
            <w:r>
              <w:t xml:space="preserve">3.42x</w:t>
            </w:r>
          </w:p>
        </w:tc>
        <w:tc>
          <w:tcPr/>
          <w:p>
            <w:pPr>
              <w:pStyle w:val="Compact"/>
              <w:jc w:val="left"/>
            </w:pPr>
            <w:r>
              <w:t xml:space="preserve">Excellent</w:t>
            </w:r>
          </w:p>
        </w:tc>
      </w:tr>
      <w:tr>
        <w:tc>
          <w:tcPr/>
          <w:p>
            <w:pPr>
              <w:pStyle w:val="Compact"/>
              <w:jc w:val="left"/>
            </w:pPr>
            <w:r>
              <w:t xml:space="preserve">Email Marketing</w:t>
            </w:r>
          </w:p>
        </w:tc>
        <w:tc>
          <w:tcPr/>
          <w:p>
            <w:pPr>
              <w:pStyle w:val="Compact"/>
              <w:jc w:val="left"/>
            </w:pPr>
            <w:r>
              <w:t xml:space="preserve">93</w:t>
            </w:r>
          </w:p>
        </w:tc>
        <w:tc>
          <w:tcPr/>
          <w:p>
            <w:pPr>
              <w:pStyle w:val="Compact"/>
              <w:jc w:val="left"/>
            </w:pPr>
            <w:r>
              <w:t xml:space="preserve">142,000</w:t>
            </w:r>
          </w:p>
        </w:tc>
        <w:tc>
          <w:tcPr/>
          <w:p>
            <w:pPr>
              <w:pStyle w:val="Compact"/>
              <w:jc w:val="left"/>
            </w:pPr>
            <w:r>
              <w:t xml:space="preserve">12,640</w:t>
            </w:r>
          </w:p>
        </w:tc>
        <w:tc>
          <w:tcPr/>
          <w:p>
            <w:pPr>
              <w:pStyle w:val="Compact"/>
              <w:jc w:val="left"/>
            </w:pPr>
            <w:r>
              <w:t xml:space="preserve">7,352</w:t>
            </w:r>
          </w:p>
        </w:tc>
        <w:tc>
          <w:tcPr/>
          <w:p>
            <w:pPr>
              <w:pStyle w:val="Compact"/>
              <w:jc w:val="left"/>
            </w:pPr>
            <w:r>
              <w:t xml:space="preserve">2.35x</w:t>
            </w:r>
          </w:p>
        </w:tc>
        <w:tc>
          <w:tcPr/>
          <w:p>
            <w:pPr>
              <w:pStyle w:val="Compact"/>
              <w:jc w:val="left"/>
            </w:pPr>
            <w:r>
              <w:t xml:space="preserve">Good</w:t>
            </w:r>
          </w:p>
        </w:tc>
      </w:tr>
      <w:tr>
        <w:tc>
          <w:tcPr/>
          <w:p>
            <w:pPr>
              <w:pStyle w:val="Compact"/>
              <w:jc w:val="left"/>
            </w:pPr>
            <w:r>
              <w:t xml:space="preserve">Video Content (YouTube, TikTok, Reels)</w:t>
            </w:r>
          </w:p>
        </w:tc>
        <w:tc>
          <w:tcPr/>
          <w:p>
            <w:pPr>
              <w:pStyle w:val="Compact"/>
              <w:jc w:val="left"/>
            </w:pPr>
            <w:r>
              <w:t xml:space="preserve">74</w:t>
            </w:r>
          </w:p>
        </w:tc>
        <w:tc>
          <w:tcPr/>
          <w:p>
            <w:pPr>
              <w:pStyle w:val="Compact"/>
              <w:jc w:val="left"/>
            </w:pPr>
            <w:r>
              <w:t xml:space="preserve">125,000</w:t>
            </w:r>
          </w:p>
        </w:tc>
        <w:tc>
          <w:tcPr/>
          <w:p>
            <w:pPr>
              <w:pStyle w:val="Compact"/>
              <w:jc w:val="left"/>
            </w:pPr>
            <w:r>
              <w:t xml:space="preserve">19,260</w:t>
            </w:r>
          </w:p>
        </w:tc>
        <w:tc>
          <w:tcPr/>
          <w:p>
            <w:pPr>
              <w:pStyle w:val="Compact"/>
              <w:jc w:val="left"/>
            </w:pPr>
            <w:r>
              <w:t xml:space="preserve">3,841</w:t>
            </w:r>
          </w:p>
        </w:tc>
        <w:tc>
          <w:tcPr/>
          <w:p>
            <w:pPr>
              <w:pStyle w:val="Compact"/>
              <w:jc w:val="left"/>
            </w:pPr>
            <w:r>
              <w:t xml:space="preserve">4.21x</w:t>
            </w:r>
          </w:p>
        </w:tc>
        <w:tc>
          <w:tcPr/>
          <w:p>
            <w:pPr>
              <w:pStyle w:val="Compact"/>
              <w:jc w:val="left"/>
            </w:pPr>
            <w:r>
              <w:t xml:space="preserve">Excellent</w:t>
            </w:r>
          </w:p>
        </w:tc>
      </w:tr>
      <w:tr>
        <w:tc>
          <w:tcPr/>
          <w:p>
            <w:pPr>
              <w:pStyle w:val="Compact"/>
              <w:jc w:val="left"/>
            </w:pPr>
            <w:r>
              <w:t xml:space="preserve">SMS &amp; Push Notifications</w:t>
            </w:r>
          </w:p>
        </w:tc>
        <w:tc>
          <w:tcPr/>
          <w:p>
            <w:pPr>
              <w:pStyle w:val="Compact"/>
              <w:jc w:val="left"/>
            </w:pPr>
            <w:r>
              <w:t xml:space="preserve">18</w:t>
            </w:r>
          </w:p>
        </w:tc>
        <w:tc>
          <w:tcPr/>
          <w:p>
            <w:pPr>
              <w:pStyle w:val="Compact"/>
              <w:jc w:val="left"/>
            </w:pPr>
            <w:r>
              <w:t xml:space="preserve">28,000</w:t>
            </w:r>
          </w:p>
        </w:tc>
        <w:tc>
          <w:tcPr/>
          <w:p>
            <w:pPr>
              <w:pStyle w:val="Compact"/>
              <w:jc w:val="left"/>
            </w:pPr>
            <w:r>
              <w:t xml:space="preserve">3,700</w:t>
            </w:r>
          </w:p>
        </w:tc>
        <w:tc>
          <w:tcPr/>
          <w:p>
            <w:pPr>
              <w:pStyle w:val="Compact"/>
              <w:jc w:val="left"/>
            </w:pPr>
            <w:r>
              <w:t xml:space="preserve">4,865</w:t>
            </w:r>
          </w:p>
        </w:tc>
        <w:tc>
          <w:tcPr/>
          <w:p>
            <w:pPr>
              <w:pStyle w:val="Compact"/>
              <w:jc w:val="left"/>
            </w:pPr>
            <w:r>
              <w:t xml:space="preserve">3.08x</w:t>
            </w:r>
          </w:p>
        </w:tc>
        <w:tc>
          <w:tcPr/>
          <w:p>
            <w:pPr>
              <w:pStyle w:val="Compact"/>
              <w:jc w:val="left"/>
            </w:pPr>
            <w:r>
              <w:t xml:space="preserve">Excellent</w:t>
            </w:r>
          </w:p>
        </w:tc>
      </w:tr>
      <w:tr>
        <w:tc>
          <w:tcPr/>
          <w:p>
            <w:pPr>
              <w:pStyle w:val="Compact"/>
              <w:jc w:val="left"/>
            </w:pPr>
            <w:r>
              <w:t xml:space="preserve">Paid Search</w:t>
            </w:r>
          </w:p>
        </w:tc>
        <w:tc>
          <w:tcPr/>
          <w:p>
            <w:pPr>
              <w:pStyle w:val="Compact"/>
              <w:jc w:val="left"/>
            </w:pPr>
            <w:r>
              <w:t xml:space="preserve">45</w:t>
            </w:r>
          </w:p>
        </w:tc>
        <w:tc>
          <w:tcPr/>
          <w:p>
            <w:pPr>
              <w:pStyle w:val="Compact"/>
              <w:jc w:val="left"/>
            </w:pPr>
            <w:r>
              <w:t xml:space="preserve">62,500</w:t>
            </w:r>
          </w:p>
        </w:tc>
        <w:tc>
          <w:tcPr/>
          <w:p>
            <w:pPr>
              <w:pStyle w:val="Compact"/>
              <w:jc w:val="left"/>
            </w:pPr>
            <w:r>
              <w:t xml:space="preserve">10,460</w:t>
            </w:r>
          </w:p>
        </w:tc>
        <w:tc>
          <w:tcPr/>
          <w:p>
            <w:pPr>
              <w:pStyle w:val="Compact"/>
              <w:jc w:val="left"/>
            </w:pPr>
            <w:r>
              <w:t xml:space="preserve">4,298</w:t>
            </w:r>
          </w:p>
        </w:tc>
        <w:tc>
          <w:tcPr/>
          <w:p>
            <w:pPr>
              <w:pStyle w:val="Compact"/>
              <w:jc w:val="left"/>
            </w:pPr>
            <w:r>
              <w:t xml:space="preserve">3.49x</w:t>
            </w:r>
          </w:p>
        </w:tc>
        <w:tc>
          <w:tcPr/>
          <w:p>
            <w:pPr>
              <w:pStyle w:val="Compact"/>
              <w:jc w:val="left"/>
            </w:pPr>
            <w:r>
              <w:t xml:space="preserve">Excellent</w:t>
            </w:r>
          </w:p>
        </w:tc>
      </w:tr>
      <w:tr>
        <w:tc>
          <w:tcPr/>
          <w:p>
            <w:pPr>
              <w:pStyle w:val="Compact"/>
              <w:jc w:val="left"/>
            </w:pPr>
            <w:r>
              <w:t xml:space="preserve">Influencer Marketing</w:t>
            </w:r>
          </w:p>
        </w:tc>
        <w:tc>
          <w:tcPr/>
          <w:p>
            <w:pPr>
              <w:pStyle w:val="Compact"/>
              <w:jc w:val="left"/>
            </w:pPr>
            <w:r>
              <w:t xml:space="preserve">32</w:t>
            </w:r>
          </w:p>
        </w:tc>
        <w:tc>
          <w:tcPr/>
          <w:p>
            <w:pPr>
              <w:pStyle w:val="Compact"/>
              <w:jc w:val="left"/>
            </w:pPr>
            <w:r>
              <w:t xml:space="preserve">48,500</w:t>
            </w:r>
          </w:p>
        </w:tc>
        <w:tc>
          <w:tcPr/>
          <w:p>
            <w:pPr>
              <w:pStyle w:val="Compact"/>
              <w:jc w:val="left"/>
            </w:pPr>
            <w:r>
              <w:t xml:space="preserve">6,420</w:t>
            </w:r>
          </w:p>
        </w:tc>
        <w:tc>
          <w:tcPr/>
          <w:p>
            <w:pPr>
              <w:pStyle w:val="Compact"/>
              <w:jc w:val="left"/>
            </w:pPr>
            <w:r>
              <w:t xml:space="preserve">4,980</w:t>
            </w:r>
          </w:p>
        </w:tc>
        <w:tc>
          <w:tcPr/>
          <w:p>
            <w:pPr>
              <w:pStyle w:val="Compact"/>
              <w:jc w:val="left"/>
            </w:pPr>
            <w:r>
              <w:t xml:space="preserve">3.03x</w:t>
            </w:r>
          </w:p>
        </w:tc>
        <w:tc>
          <w:tcPr/>
          <w:p>
            <w:pPr>
              <w:pStyle w:val="Compact"/>
              <w:jc w:val="left"/>
            </w:pPr>
            <w:r>
              <w:t xml:space="preserve">Excellent</w:t>
            </w:r>
          </w:p>
        </w:tc>
      </w:tr>
      <w:tr>
        <w:tc>
          <w:tcPr/>
          <w:p>
            <w:pPr>
              <w:pStyle w:val="Compact"/>
              <w:jc w:val="left"/>
            </w:pPr>
            <w:r>
              <w:t xml:space="preserve">Social Media Organic</w:t>
            </w:r>
          </w:p>
        </w:tc>
        <w:tc>
          <w:tcPr/>
          <w:p>
            <w:pPr>
              <w:pStyle w:val="Compact"/>
              <w:jc w:val="left"/>
            </w:pPr>
            <w:r>
              <w:t xml:space="preserve">5</w:t>
            </w:r>
          </w:p>
        </w:tc>
        <w:tc>
          <w:tcPr/>
          <w:p>
            <w:pPr>
              <w:pStyle w:val="Compact"/>
              <w:jc w:val="left"/>
            </w:pPr>
            <w:r>
              <w:t xml:space="preserve">35,000</w:t>
            </w:r>
          </w:p>
        </w:tc>
        <w:tc>
          <w:tcPr/>
          <w:p>
            <w:pPr>
              <w:pStyle w:val="Compact"/>
              <w:jc w:val="left"/>
            </w:pPr>
            <w:r>
              <w:t xml:space="preserve">3,500</w:t>
            </w:r>
          </w:p>
        </w:tc>
        <w:tc>
          <w:tcPr/>
          <w:p>
            <w:pPr>
              <w:pStyle w:val="Compact"/>
              <w:jc w:val="left"/>
            </w:pPr>
            <w:r>
              <w:t xml:space="preserve">1,429</w:t>
            </w:r>
          </w:p>
        </w:tc>
        <w:tc>
          <w:tcPr/>
          <w:p>
            <w:pPr>
              <w:pStyle w:val="Compact"/>
              <w:jc w:val="left"/>
            </w:pPr>
            <w:r>
              <w:t xml:space="preserve">Organic</w:t>
            </w:r>
          </w:p>
        </w:tc>
        <w:tc>
          <w:tcPr/>
          <w:p>
            <w:pPr>
              <w:pStyle w:val="Compact"/>
              <w:jc w:val="left"/>
            </w:pPr>
            <w:r>
              <w:t xml:space="preserve">Good</w:t>
            </w:r>
          </w:p>
        </w:tc>
      </w:tr>
    </w:tbl>
    <w:p>
      <w:pPr>
        <w:pStyle w:val="BodyText"/>
      </w:pPr>
      <w:r>
        <w:rPr>
          <w:b/>
          <w:bCs/>
        </w:rPr>
        <w:t xml:space="preserve">Overall Channel Mix:</w:t>
      </w:r>
      <w:r>
        <w:t xml:space="preserve"> </w:t>
      </w:r>
      <w:r>
        <w:t xml:space="preserve">Digital dominance (72% of spend) with particularly strong performance in video content (4.21x ROAS) and paid search (3.49x ROAS).</w:t>
      </w:r>
    </w:p>
    <w:p>
      <w:r>
        <w:pict>
          <v:rect style="width:0;height:1.5pt" o:hralign="center" o:hrstd="t" o:hr="t"/>
        </w:pict>
      </w:r>
    </w:p>
    <w:bookmarkEnd w:id="23"/>
    <w:bookmarkStart w:id="24" w:name="social-media-metrics"/>
    <w:p>
      <w:pPr>
        <w:pStyle w:val="Heading2"/>
      </w:pPr>
      <w:r>
        <w:t xml:space="preserve">Social Media Metrics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Platform</w:t>
            </w:r>
          </w:p>
        </w:tc>
        <w:tc>
          <w:tcPr/>
          <w:p>
            <w:pPr>
              <w:pStyle w:val="Compact"/>
              <w:jc w:val="left"/>
            </w:pPr>
            <w:r>
              <w:t xml:space="preserve">Q4 Start Followers</w:t>
            </w:r>
          </w:p>
        </w:tc>
        <w:tc>
          <w:tcPr/>
          <w:p>
            <w:pPr>
              <w:pStyle w:val="Compact"/>
              <w:jc w:val="left"/>
            </w:pPr>
            <w:r>
              <w:t xml:space="preserve">Q4 End Followers</w:t>
            </w:r>
          </w:p>
        </w:tc>
        <w:tc>
          <w:tcPr/>
          <w:p>
            <w:pPr>
              <w:pStyle w:val="Compact"/>
              <w:jc w:val="left"/>
            </w:pPr>
            <w:r>
              <w:t xml:space="preserve">Engagement Rate</w:t>
            </w:r>
          </w:p>
        </w:tc>
        <w:tc>
          <w:tcPr/>
          <w:p>
            <w:pPr>
              <w:pStyle w:val="Compact"/>
              <w:jc w:val="left"/>
            </w:pPr>
            <w:r>
              <w:t xml:space="preserve">Avg Impressions/Post</w:t>
            </w:r>
          </w:p>
        </w:tc>
        <w:tc>
          <w:tcPr/>
          <w:p>
            <w:pPr>
              <w:pStyle w:val="Compact"/>
              <w:jc w:val="left"/>
            </w:pPr>
            <w:r>
              <w:t xml:space="preserve">Click-through Rate</w:t>
            </w:r>
          </w:p>
        </w:tc>
        <w:tc>
          <w:tcPr/>
          <w:p>
            <w:pPr>
              <w:pStyle w:val="Compact"/>
              <w:jc w:val="left"/>
            </w:pPr>
            <w:r>
              <w:t xml:space="preserve">Notable Growth</w:t>
            </w:r>
          </w:p>
        </w:tc>
      </w:tr>
      <w:tr>
        <w:tc>
          <w:tcPr/>
          <w:p>
            <w:pPr>
              <w:pStyle w:val="Compact"/>
              <w:jc w:val="left"/>
            </w:pPr>
            <w:r>
              <w:t xml:space="preserve">LinkedIn</w:t>
            </w:r>
          </w:p>
        </w:tc>
        <w:tc>
          <w:tcPr/>
          <w:p>
            <w:pPr>
              <w:pStyle w:val="Compact"/>
              <w:jc w:val="left"/>
            </w:pPr>
            <w:r>
              <w:t xml:space="preserve">305,200</w:t>
            </w:r>
          </w:p>
        </w:tc>
        <w:tc>
          <w:tcPr/>
          <w:p>
            <w:pPr>
              <w:pStyle w:val="Compact"/>
              <w:jc w:val="left"/>
            </w:pPr>
            <w:r>
              <w:t xml:space="preserve">385,400</w:t>
            </w:r>
          </w:p>
        </w:tc>
        <w:tc>
          <w:tcPr/>
          <w:p>
            <w:pPr>
              <w:pStyle w:val="Compact"/>
              <w:jc w:val="left"/>
            </w:pPr>
            <w:r>
              <w:t xml:space="preserve">6.2%</w:t>
            </w:r>
          </w:p>
        </w:tc>
        <w:tc>
          <w:tcPr/>
          <w:p>
            <w:pPr>
              <w:pStyle w:val="Compact"/>
              <w:jc w:val="left"/>
            </w:pPr>
            <w:r>
              <w:t xml:space="preserve">48,500</w:t>
            </w:r>
          </w:p>
        </w:tc>
        <w:tc>
          <w:tcPr/>
          <w:p>
            <w:pPr>
              <w:pStyle w:val="Compact"/>
              <w:jc w:val="left"/>
            </w:pPr>
            <w:r>
              <w:t xml:space="preserve">3.1%</w:t>
            </w:r>
          </w:p>
        </w:tc>
        <w:tc>
          <w:tcPr/>
          <w:p>
            <w:pPr>
              <w:pStyle w:val="Compact"/>
              <w:jc w:val="left"/>
            </w:pPr>
            <w:r>
              <w:t xml:space="preserve">+80,200 followers (+26.3%)</w:t>
            </w:r>
          </w:p>
        </w:tc>
      </w:tr>
      <w:tr>
        <w:tc>
          <w:tcPr/>
          <w:p>
            <w:pPr>
              <w:pStyle w:val="Compact"/>
              <w:jc w:val="left"/>
            </w:pPr>
            <w:r>
              <w:t xml:space="preserve">Instagram</w:t>
            </w:r>
          </w:p>
        </w:tc>
        <w:tc>
          <w:tcPr/>
          <w:p>
            <w:pPr>
              <w:pStyle w:val="Compact"/>
              <w:jc w:val="left"/>
            </w:pPr>
            <w:r>
              <w:t xml:space="preserve">238,600</w:t>
            </w:r>
          </w:p>
        </w:tc>
        <w:tc>
          <w:tcPr/>
          <w:p>
            <w:pPr>
              <w:pStyle w:val="Compact"/>
              <w:jc w:val="left"/>
            </w:pPr>
            <w:r>
              <w:t xml:space="preserve">324,800</w:t>
            </w:r>
          </w:p>
        </w:tc>
        <w:tc>
          <w:tcPr/>
          <w:p>
            <w:pPr>
              <w:pStyle w:val="Compact"/>
              <w:jc w:val="left"/>
            </w:pPr>
            <w:r>
              <w:t xml:space="preserve">9.2%</w:t>
            </w:r>
          </w:p>
        </w:tc>
        <w:tc>
          <w:tcPr/>
          <w:p>
            <w:pPr>
              <w:pStyle w:val="Compact"/>
              <w:jc w:val="left"/>
            </w:pPr>
            <w:r>
              <w:t xml:space="preserve">42,100</w:t>
            </w:r>
          </w:p>
        </w:tc>
        <w:tc>
          <w:tcPr/>
          <w:p>
            <w:pPr>
              <w:pStyle w:val="Compact"/>
              <w:jc w:val="left"/>
            </w:pPr>
            <w:r>
              <w:t xml:space="preserve">4.2%</w:t>
            </w:r>
          </w:p>
        </w:tc>
        <w:tc>
          <w:tcPr/>
          <w:p>
            <w:pPr>
              <w:pStyle w:val="Compact"/>
              <w:jc w:val="left"/>
            </w:pPr>
            <w:r>
              <w:t xml:space="preserve">+86,200 followers (+36.1%)</w:t>
            </w:r>
          </w:p>
        </w:tc>
      </w:tr>
      <w:tr>
        <w:tc>
          <w:tcPr/>
          <w:p>
            <w:pPr>
              <w:pStyle w:val="Compact"/>
              <w:jc w:val="left"/>
            </w:pPr>
            <w:r>
              <w:t xml:space="preserve">TikTok</w:t>
            </w:r>
          </w:p>
        </w:tc>
        <w:tc>
          <w:tcPr/>
          <w:p>
            <w:pPr>
              <w:pStyle w:val="Compact"/>
              <w:jc w:val="left"/>
            </w:pPr>
            <w:r>
              <w:t xml:space="preserve">142,800</w:t>
            </w:r>
          </w:p>
        </w:tc>
        <w:tc>
          <w:tcPr/>
          <w:p>
            <w:pPr>
              <w:pStyle w:val="Compact"/>
              <w:jc w:val="left"/>
            </w:pPr>
            <w:r>
              <w:t xml:space="preserve">512,300</w:t>
            </w:r>
          </w:p>
        </w:tc>
        <w:tc>
          <w:tcPr/>
          <w:p>
            <w:pPr>
              <w:pStyle w:val="Compact"/>
              <w:jc w:val="left"/>
            </w:pPr>
            <w:r>
              <w:t xml:space="preserve">15.8%</w:t>
            </w:r>
          </w:p>
        </w:tc>
        <w:tc>
          <w:tcPr/>
          <w:p>
            <w:pPr>
              <w:pStyle w:val="Compact"/>
              <w:jc w:val="left"/>
            </w:pPr>
            <w:r>
              <w:t xml:space="preserve">72,400</w:t>
            </w:r>
          </w:p>
        </w:tc>
        <w:tc>
          <w:tcPr/>
          <w:p>
            <w:pPr>
              <w:pStyle w:val="Compact"/>
              <w:jc w:val="left"/>
            </w:pPr>
            <w:r>
              <w:t xml:space="preserve">7.2%</w:t>
            </w:r>
          </w:p>
        </w:tc>
        <w:tc>
          <w:tcPr/>
          <w:p>
            <w:pPr>
              <w:pStyle w:val="Compact"/>
              <w:jc w:val="left"/>
            </w:pPr>
            <w:r>
              <w:t xml:space="preserve">+369,500 followers (+258.6%)</w:t>
            </w:r>
          </w:p>
        </w:tc>
      </w:tr>
      <w:tr>
        <w:tc>
          <w:tcPr/>
          <w:p>
            <w:pPr>
              <w:pStyle w:val="Compact"/>
              <w:jc w:val="left"/>
            </w:pPr>
            <w:r>
              <w:t xml:space="preserve">Twitter</w:t>
            </w:r>
          </w:p>
        </w:tc>
        <w:tc>
          <w:tcPr/>
          <w:p>
            <w:pPr>
              <w:pStyle w:val="Compact"/>
              <w:jc w:val="left"/>
            </w:pPr>
            <w:r>
              <w:t xml:space="preserve">128,400</w:t>
            </w:r>
          </w:p>
        </w:tc>
        <w:tc>
          <w:tcPr/>
          <w:p>
            <w:pPr>
              <w:pStyle w:val="Compact"/>
              <w:jc w:val="left"/>
            </w:pPr>
            <w:r>
              <w:t xml:space="preserve">168,900</w:t>
            </w:r>
          </w:p>
        </w:tc>
        <w:tc>
          <w:tcPr/>
          <w:p>
            <w:pPr>
              <w:pStyle w:val="Compact"/>
              <w:jc w:val="left"/>
            </w:pPr>
            <w:r>
              <w:t xml:space="preserve">5.1%</w:t>
            </w:r>
          </w:p>
        </w:tc>
        <w:tc>
          <w:tcPr/>
          <w:p>
            <w:pPr>
              <w:pStyle w:val="Compact"/>
              <w:jc w:val="left"/>
            </w:pPr>
            <w:r>
              <w:t xml:space="preserve">26,200</w:t>
            </w:r>
          </w:p>
        </w:tc>
        <w:tc>
          <w:tcPr/>
          <w:p>
            <w:pPr>
              <w:pStyle w:val="Compact"/>
              <w:jc w:val="left"/>
            </w:pPr>
            <w:r>
              <w:t xml:space="preserve">2.7%</w:t>
            </w:r>
          </w:p>
        </w:tc>
        <w:tc>
          <w:tcPr/>
          <w:p>
            <w:pPr>
              <w:pStyle w:val="Compact"/>
              <w:jc w:val="left"/>
            </w:pPr>
            <w:r>
              <w:t xml:space="preserve">+40,500 followers (+31.5%)</w:t>
            </w:r>
          </w:p>
        </w:tc>
      </w:tr>
      <w:tr>
        <w:tc>
          <w:tcPr/>
          <w:p>
            <w:pPr>
              <w:pStyle w:val="Compact"/>
              <w:jc w:val="left"/>
            </w:pPr>
            <w:r>
              <w:t xml:space="preserve">Facebook</w:t>
            </w:r>
          </w:p>
        </w:tc>
        <w:tc>
          <w:tcPr/>
          <w:p>
            <w:pPr>
              <w:pStyle w:val="Compact"/>
              <w:jc w:val="left"/>
            </w:pPr>
            <w:r>
              <w:t xml:space="preserve">216,200</w:t>
            </w:r>
          </w:p>
        </w:tc>
        <w:tc>
          <w:tcPr/>
          <w:p>
            <w:pPr>
              <w:pStyle w:val="Compact"/>
              <w:jc w:val="left"/>
            </w:pPr>
            <w:r>
              <w:t xml:space="preserve">258,500</w:t>
            </w:r>
          </w:p>
        </w:tc>
        <w:tc>
          <w:tcPr/>
          <w:p>
            <w:pPr>
              <w:pStyle w:val="Compact"/>
              <w:jc w:val="left"/>
            </w:pPr>
            <w:r>
              <w:t xml:space="preserve">4.2%</w:t>
            </w:r>
          </w:p>
        </w:tc>
        <w:tc>
          <w:tcPr/>
          <w:p>
            <w:pPr>
              <w:pStyle w:val="Compact"/>
              <w:jc w:val="left"/>
            </w:pPr>
            <w:r>
              <w:t xml:space="preserve">28,600</w:t>
            </w:r>
          </w:p>
        </w:tc>
        <w:tc>
          <w:tcPr/>
          <w:p>
            <w:pPr>
              <w:pStyle w:val="Compact"/>
              <w:jc w:val="left"/>
            </w:pPr>
            <w:r>
              <w:t xml:space="preserve">1.8%</w:t>
            </w:r>
          </w:p>
        </w:tc>
        <w:tc>
          <w:tcPr/>
          <w:p>
            <w:pPr>
              <w:pStyle w:val="Compact"/>
              <w:jc w:val="left"/>
            </w:pPr>
            <w:r>
              <w:t xml:space="preserve">+42,300 followers (+19.6%)</w:t>
            </w:r>
          </w:p>
        </w:tc>
      </w:tr>
      <w:tr>
        <w:tc>
          <w:tcPr/>
          <w:p>
            <w:pPr>
              <w:pStyle w:val="Compact"/>
              <w:jc w:val="left"/>
            </w:pPr>
            <w:r>
              <w:t xml:space="preserve">YouTube</w:t>
            </w:r>
          </w:p>
        </w:tc>
        <w:tc>
          <w:tcPr/>
          <w:p>
            <w:pPr>
              <w:pStyle w:val="Compact"/>
              <w:jc w:val="left"/>
            </w:pPr>
            <w:r>
              <w:t xml:space="preserve">115,300</w:t>
            </w:r>
          </w:p>
        </w:tc>
        <w:tc>
          <w:tcPr/>
          <w:p>
            <w:pPr>
              <w:pStyle w:val="Compact"/>
              <w:jc w:val="left"/>
            </w:pPr>
            <w:r>
              <w:t xml:space="preserve">182,600</w:t>
            </w:r>
          </w:p>
        </w:tc>
        <w:tc>
          <w:tcPr/>
          <w:p>
            <w:pPr>
              <w:pStyle w:val="Compact"/>
              <w:jc w:val="left"/>
            </w:pPr>
            <w:r>
              <w:t xml:space="preserve">11.4%</w:t>
            </w:r>
          </w:p>
        </w:tc>
        <w:tc>
          <w:tcPr/>
          <w:p>
            <w:pPr>
              <w:pStyle w:val="Compact"/>
              <w:jc w:val="left"/>
            </w:pPr>
            <w:r>
              <w:t xml:space="preserve">65,200</w:t>
            </w:r>
          </w:p>
        </w:tc>
        <w:tc>
          <w:tcPr/>
          <w:p>
            <w:pPr>
              <w:pStyle w:val="Compact"/>
              <w:jc w:val="left"/>
            </w:pPr>
            <w:r>
              <w:t xml:space="preserve">4.8%</w:t>
            </w:r>
          </w:p>
        </w:tc>
        <w:tc>
          <w:tcPr/>
          <w:p>
            <w:pPr>
              <w:pStyle w:val="Compact"/>
              <w:jc w:val="left"/>
            </w:pPr>
            <w:r>
              <w:t xml:space="preserve">+67,300 followers (+58.3%)</w:t>
            </w:r>
          </w:p>
        </w:tc>
      </w:tr>
    </w:tbl>
    <w:p>
      <w:pPr>
        <w:pStyle w:val="BodyText"/>
      </w:pPr>
      <w:r>
        <w:rPr>
          <w:b/>
          <w:bCs/>
        </w:rPr>
        <w:t xml:space="preserve">Year-End Summary:</w:t>
      </w:r>
      <w:r>
        <w:t xml:space="preserve"> </w:t>
      </w:r>
      <w:r>
        <w:t xml:space="preserve">- Combined followers across all platforms:</w:t>
      </w:r>
      <w:r>
        <w:t xml:space="preserve"> </w:t>
      </w:r>
      <w:r>
        <w:rPr>
          <w:b/>
          <w:bCs/>
        </w:rPr>
        <w:t xml:space="preserve">1.83M</w:t>
      </w:r>
      <w:r>
        <w:t xml:space="preserve"> </w:t>
      </w:r>
      <w:r>
        <w:t xml:space="preserve">(up from 838,500 at Q1 start)</w:t>
      </w:r>
      <w:r>
        <w:t xml:space="preserve"> </w:t>
      </w:r>
      <w:r>
        <w:t xml:space="preserve">- Average engagement rate across platforms:</w:t>
      </w:r>
      <w:r>
        <w:t xml:space="preserve"> </w:t>
      </w:r>
      <w:r>
        <w:rPr>
          <w:b/>
          <w:bCs/>
        </w:rPr>
        <w:t xml:space="preserve">8.65%</w:t>
      </w:r>
      <w:r>
        <w:t xml:space="preserve"> </w:t>
      </w:r>
      <w:r>
        <w:t xml:space="preserve">(up from 5.2% at Q1)</w:t>
      </w:r>
      <w:r>
        <w:t xml:space="preserve"> </w:t>
      </w:r>
      <w:r>
        <w:t xml:space="preserve">- TikTok phenomenal growth trajectory (305% annually) driven by viral holiday content</w:t>
      </w:r>
    </w:p>
    <w:p>
      <w:r>
        <w:pict>
          <v:rect style="width:0;height:1.5pt" o:hralign="center" o:hrstd="t" o:hr="t"/>
        </w:pict>
      </w:r>
    </w:p>
    <w:bookmarkEnd w:id="24"/>
    <w:bookmarkStart w:id="25" w:name="customer-acquisition-funnel---q4-2024"/>
    <w:p>
      <w:pPr>
        <w:pStyle w:val="Heading2"/>
      </w:pPr>
      <w:r>
        <w:t xml:space="preserve">Customer Acquisition Funnel - Q4 2024</w:t>
      </w:r>
    </w:p>
    <w:p>
      <w:pPr>
        <w:pStyle w:val="FirstParagraph"/>
      </w:pPr>
      <w:r>
        <w:rPr>
          <w:b/>
          <w:bCs/>
        </w:rPr>
        <w:t xml:space="preserve">Total Addressable Reach: 18.22 Million impressions across all channels</w:t>
      </w:r>
    </w:p>
    <w:p>
      <w:pPr>
        <w:pStyle w:val="SourceCode"/>
      </w:pPr>
      <w:r>
        <w:rPr>
          <w:rStyle w:val="VerbatimChar"/>
        </w:rPr>
        <w:t xml:space="preserve">Stage                    Volume          % of Previous    Drop-off Rate</w:t>
      </w:r>
      <w:r>
        <w:br/>
      </w:r>
      <w:r>
        <w:rPr>
          <w:rStyle w:val="VerbatimChar"/>
        </w:rPr>
        <w:t xml:space="preserve">─────────────────────────────────────────────────────────────</w:t>
      </w:r>
      <w:r>
        <w:br/>
      </w:r>
      <w:r>
        <w:rPr>
          <w:rStyle w:val="VerbatimChar"/>
        </w:rPr>
        <w:t xml:space="preserve">Awareness                18,220,000      -                -</w:t>
      </w:r>
      <w:r>
        <w:br/>
      </w:r>
      <w:r>
        <w:rPr>
          <w:rStyle w:val="VerbatimChar"/>
        </w:rPr>
        <w:t xml:space="preserve">Interest (Clicks)        412,200         2.3%             97.7%</w:t>
      </w:r>
      <w:r>
        <w:br/>
      </w:r>
      <w:r>
        <w:rPr>
          <w:rStyle w:val="VerbatimChar"/>
        </w:rPr>
        <w:t xml:space="preserve">Consideration (Leads)    240,000         58.2%            41.8%</w:t>
      </w:r>
      <w:r>
        <w:br/>
      </w:r>
      <w:r>
        <w:rPr>
          <w:rStyle w:val="VerbatimChar"/>
        </w:rPr>
        <w:t xml:space="preserve">Conversion (Signup)      64,800          27.0%            73.0%</w:t>
      </w:r>
      <w:r>
        <w:br/>
      </w:r>
      <w:r>
        <w:rPr>
          <w:rStyle w:val="VerbatimChar"/>
        </w:rPr>
        <w:t xml:space="preserve">Active Users (30-day)    59,400          91.6%            8.4%</w:t>
      </w:r>
      <w:r>
        <w:br/>
      </w:r>
      <w:r>
        <w:rPr>
          <w:rStyle w:val="VerbatimChar"/>
        </w:rPr>
        <w:t xml:space="preserve">Paying Users (30-day)    48,300          81.2%            18.8%</w:t>
      </w:r>
      <w:r>
        <w:br/>
      </w:r>
      <w:r>
        <w:rPr>
          <w:rStyle w:val="VerbatimChar"/>
        </w:rPr>
        <w:t xml:space="preserve">B2B Enterprise Accounts  685             1.4%             98.6%</w:t>
      </w:r>
    </w:p>
    <w:p>
      <w:pPr>
        <w:pStyle w:val="FirstParagraph"/>
      </w:pPr>
      <w:r>
        <w:rPr>
          <w:b/>
          <w:bCs/>
        </w:rPr>
        <w:t xml:space="preserve">Key Insights:</w:t>
      </w:r>
      <w:r>
        <w:t xml:space="preserve"> </w:t>
      </w:r>
      <w:r>
        <w:t xml:space="preserve">- Consideration-to-conversion improved to 73% (best of year; Q1: 65.9%)</w:t>
      </w:r>
      <w:r>
        <w:t xml:space="preserve"> </w:t>
      </w:r>
      <w:r>
        <w:t xml:space="preserve">- Active-to-paying conversion rate 81.2% shows strong monetization</w:t>
      </w:r>
      <w:r>
        <w:t xml:space="preserve"> </w:t>
      </w:r>
      <w:r>
        <w:t xml:space="preserve">- B2B enterprise segment contributing outsized revenue (34.3% of Q4 total on 1.4% of volumes)</w:t>
      </w:r>
    </w:p>
    <w:p>
      <w:r>
        <w:pict>
          <v:rect style="width:0;height:1.5pt" o:hralign="center" o:hrstd="t" o:hr="t"/>
        </w:pict>
      </w:r>
    </w:p>
    <w:bookmarkEnd w:id="25"/>
    <w:bookmarkStart w:id="26" w:name="geographic-performance"/>
    <w:p>
      <w:pPr>
        <w:pStyle w:val="Heading2"/>
      </w:pPr>
      <w:r>
        <w:t xml:space="preserve">Geographic Performance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Region</w:t>
            </w:r>
          </w:p>
        </w:tc>
        <w:tc>
          <w:tcPr/>
          <w:p>
            <w:pPr>
              <w:pStyle w:val="Compact"/>
              <w:jc w:val="left"/>
            </w:pPr>
            <w:r>
              <w:t xml:space="preserve">Budget (₹L)</w:t>
            </w:r>
          </w:p>
        </w:tc>
        <w:tc>
          <w:tcPr/>
          <w:p>
            <w:pPr>
              <w:pStyle w:val="Compact"/>
              <w:jc w:val="left"/>
            </w:pPr>
            <w:r>
              <w:t xml:space="preserve">Customers Acquired</w:t>
            </w:r>
          </w:p>
        </w:tc>
        <w:tc>
          <w:tcPr/>
          <w:p>
            <w:pPr>
              <w:pStyle w:val="Compact"/>
              <w:jc w:val="left"/>
            </w:pPr>
            <w:r>
              <w:t xml:space="preserve">Revenue (₹L)</w:t>
            </w:r>
          </w:p>
        </w:tc>
        <w:tc>
          <w:tcPr/>
          <w:p>
            <w:pPr>
              <w:pStyle w:val="Compact"/>
              <w:jc w:val="left"/>
            </w:pPr>
            <w:r>
              <w:t xml:space="preserve">YTD Customer Total</w:t>
            </w:r>
          </w:p>
        </w:tc>
        <w:tc>
          <w:tcPr/>
          <w:p>
            <w:pPr>
              <w:pStyle w:val="Compact"/>
              <w:jc w:val="left"/>
            </w:pPr>
            <w:r>
              <w:t xml:space="preserve">Market Share Notes</w:t>
            </w:r>
          </w:p>
        </w:tc>
      </w:tr>
      <w:tr>
        <w:tc>
          <w:tcPr/>
          <w:p>
            <w:pPr>
              <w:pStyle w:val="Compact"/>
              <w:jc w:val="left"/>
            </w:pPr>
            <w:r>
              <w:t xml:space="preserve">India (Core)</w:t>
            </w:r>
          </w:p>
        </w:tc>
        <w:tc>
          <w:tcPr/>
          <w:p>
            <w:pPr>
              <w:pStyle w:val="Compact"/>
              <w:jc w:val="left"/>
            </w:pPr>
            <w:r>
              <w:t xml:space="preserve">185</w:t>
            </w:r>
          </w:p>
        </w:tc>
        <w:tc>
          <w:tcPr/>
          <w:p>
            <w:pPr>
              <w:pStyle w:val="Compact"/>
              <w:jc w:val="left"/>
            </w:pPr>
            <w:r>
              <w:t xml:space="preserve">124,500</w:t>
            </w:r>
          </w:p>
        </w:tc>
        <w:tc>
          <w:tcPr/>
          <w:p>
            <w:pPr>
              <w:pStyle w:val="Compact"/>
              <w:jc w:val="left"/>
            </w:pPr>
            <w:r>
              <w:t xml:space="preserve">142.2</w:t>
            </w:r>
          </w:p>
        </w:tc>
        <w:tc>
          <w:tcPr/>
          <w:p>
            <w:pPr>
              <w:pStyle w:val="Compact"/>
              <w:jc w:val="left"/>
            </w:pPr>
            <w:r>
              <w:t xml:space="preserve">423,700</w:t>
            </w:r>
          </w:p>
        </w:tc>
        <w:tc>
          <w:tcPr/>
          <w:p>
            <w:pPr>
              <w:pStyle w:val="Compact"/>
              <w:jc w:val="left"/>
            </w:pPr>
            <w:r>
              <w:t xml:space="preserve">Largest market; 61.8% of annual acquisitions</w:t>
            </w:r>
          </w:p>
        </w:tc>
      </w:tr>
      <w:tr>
        <w:tc>
          <w:tcPr/>
          <w:p>
            <w:pPr>
              <w:pStyle w:val="Compact"/>
              <w:jc w:val="left"/>
            </w:pPr>
            <w:r>
              <w:t xml:space="preserve">United Kingdom</w:t>
            </w:r>
          </w:p>
        </w:tc>
        <w:tc>
          <w:tcPr/>
          <w:p>
            <w:pPr>
              <w:pStyle w:val="Compact"/>
              <w:jc w:val="left"/>
            </w:pPr>
            <w:r>
              <w:t xml:space="preserve">38</w:t>
            </w:r>
          </w:p>
        </w:tc>
        <w:tc>
          <w:tcPr/>
          <w:p>
            <w:pPr>
              <w:pStyle w:val="Compact"/>
              <w:jc w:val="left"/>
            </w:pPr>
            <w:r>
              <w:t xml:space="preserve">42,100</w:t>
            </w:r>
          </w:p>
        </w:tc>
        <w:tc>
          <w:tcPr/>
          <w:p>
            <w:pPr>
              <w:pStyle w:val="Compact"/>
              <w:jc w:val="left"/>
            </w:pPr>
            <w:r>
              <w:t xml:space="preserve">38.0</w:t>
            </w:r>
          </w:p>
        </w:tc>
        <w:tc>
          <w:tcPr/>
          <w:p>
            <w:pPr>
              <w:pStyle w:val="Compact"/>
              <w:jc w:val="left"/>
            </w:pPr>
            <w:r>
              <w:t xml:space="preserve">150,600</w:t>
            </w:r>
          </w:p>
        </w:tc>
        <w:tc>
          <w:tcPr/>
          <w:p>
            <w:pPr>
              <w:pStyle w:val="Compact"/>
              <w:jc w:val="left"/>
            </w:pPr>
            <w:r>
              <w:t xml:space="preserve">Mature market; enterprise focus paying off</w:t>
            </w:r>
          </w:p>
        </w:tc>
      </w:tr>
      <w:tr>
        <w:tc>
          <w:tcPr/>
          <w:p>
            <w:pPr>
              <w:pStyle w:val="Compact"/>
              <w:jc w:val="left"/>
            </w:pPr>
            <w:r>
              <w:t xml:space="preserve">Germany</w:t>
            </w:r>
          </w:p>
        </w:tc>
        <w:tc>
          <w:tcPr/>
          <w:p>
            <w:pPr>
              <w:pStyle w:val="Compact"/>
              <w:jc w:val="left"/>
            </w:pPr>
            <w:r>
              <w:t xml:space="preserve">32</w:t>
            </w:r>
          </w:p>
        </w:tc>
        <w:tc>
          <w:tcPr/>
          <w:p>
            <w:pPr>
              <w:pStyle w:val="Compact"/>
              <w:jc w:val="left"/>
            </w:pPr>
            <w:r>
              <w:t xml:space="preserve">35,200</w:t>
            </w:r>
          </w:p>
        </w:tc>
        <w:tc>
          <w:tcPr/>
          <w:p>
            <w:pPr>
              <w:pStyle w:val="Compact"/>
              <w:jc w:val="left"/>
            </w:pPr>
            <w:r>
              <w:t xml:space="preserve">31.8</w:t>
            </w:r>
          </w:p>
        </w:tc>
        <w:tc>
          <w:tcPr/>
          <w:p>
            <w:pPr>
              <w:pStyle w:val="Compact"/>
              <w:jc w:val="left"/>
            </w:pPr>
            <w:r>
              <w:t xml:space="preserve">147,000</w:t>
            </w:r>
          </w:p>
        </w:tc>
        <w:tc>
          <w:tcPr/>
          <w:p>
            <w:pPr>
              <w:pStyle w:val="Compact"/>
              <w:jc w:val="left"/>
            </w:pPr>
            <w:r>
              <w:t xml:space="preserve">Strong B2B concentration in this market</w:t>
            </w:r>
          </w:p>
        </w:tc>
      </w:tr>
      <w:tr>
        <w:tc>
          <w:tcPr/>
          <w:p>
            <w:pPr>
              <w:pStyle w:val="Compact"/>
              <w:jc w:val="left"/>
            </w:pPr>
            <w:r>
              <w:t xml:space="preserve">France</w:t>
            </w:r>
          </w:p>
        </w:tc>
        <w:tc>
          <w:tcPr/>
          <w:p>
            <w:pPr>
              <w:pStyle w:val="Compact"/>
              <w:jc w:val="left"/>
            </w:pPr>
            <w:r>
              <w:t xml:space="preserve">42</w:t>
            </w:r>
          </w:p>
        </w:tc>
        <w:tc>
          <w:tcPr/>
          <w:p>
            <w:pPr>
              <w:pStyle w:val="Compact"/>
              <w:jc w:val="left"/>
            </w:pPr>
            <w:r>
              <w:t xml:space="preserve">32,400</w:t>
            </w:r>
          </w:p>
        </w:tc>
        <w:tc>
          <w:tcPr/>
          <w:p>
            <w:pPr>
              <w:pStyle w:val="Compact"/>
              <w:jc w:val="left"/>
            </w:pPr>
            <w:r>
              <w:t xml:space="preserve">29.2</w:t>
            </w:r>
          </w:p>
        </w:tc>
        <w:tc>
          <w:tcPr/>
          <w:p>
            <w:pPr>
              <w:pStyle w:val="Compact"/>
              <w:jc w:val="left"/>
            </w:pPr>
            <w:r>
              <w:t xml:space="preserve">121,000</w:t>
            </w:r>
          </w:p>
        </w:tc>
        <w:tc>
          <w:tcPr/>
          <w:p>
            <w:pPr>
              <w:pStyle w:val="Compact"/>
              <w:jc w:val="left"/>
            </w:pPr>
            <w:r>
              <w:t xml:space="preserve">Full-year recovery; regulatory clarity strong</w:t>
            </w:r>
          </w:p>
        </w:tc>
      </w:tr>
      <w:tr>
        <w:tc>
          <w:tcPr/>
          <w:p>
            <w:pPr>
              <w:pStyle w:val="Compact"/>
              <w:jc w:val="left"/>
            </w:pPr>
            <w:r>
              <w:t xml:space="preserve">Singapore</w:t>
            </w:r>
          </w:p>
        </w:tc>
        <w:tc>
          <w:tcPr/>
          <w:p>
            <w:pPr>
              <w:pStyle w:val="Compact"/>
              <w:jc w:val="left"/>
            </w:pPr>
            <w:r>
              <w:t xml:space="preserve">28</w:t>
            </w:r>
          </w:p>
        </w:tc>
        <w:tc>
          <w:tcPr/>
          <w:p>
            <w:pPr>
              <w:pStyle w:val="Compact"/>
              <w:jc w:val="left"/>
            </w:pPr>
            <w:r>
              <w:t xml:space="preserve">20,800</w:t>
            </w:r>
          </w:p>
        </w:tc>
        <w:tc>
          <w:tcPr/>
          <w:p>
            <w:pPr>
              <w:pStyle w:val="Compact"/>
              <w:jc w:val="left"/>
            </w:pPr>
            <w:r>
              <w:t xml:space="preserve">18.8</w:t>
            </w:r>
          </w:p>
        </w:tc>
        <w:tc>
          <w:tcPr/>
          <w:p>
            <w:pPr>
              <w:pStyle w:val="Compact"/>
              <w:jc w:val="left"/>
            </w:pPr>
            <w:r>
              <w:t xml:space="preserve">58,000</w:t>
            </w:r>
          </w:p>
        </w:tc>
        <w:tc>
          <w:tcPr/>
          <w:p>
            <w:pPr>
              <w:pStyle w:val="Compact"/>
              <w:jc w:val="left"/>
            </w:pPr>
            <w:r>
              <w:t xml:space="preserve">Mature market; consolidation phase</w:t>
            </w:r>
          </w:p>
        </w:tc>
      </w:tr>
      <w:tr>
        <w:tc>
          <w:tcPr/>
          <w:p>
            <w:pPr>
              <w:pStyle w:val="Compact"/>
              <w:jc w:val="left"/>
            </w:pPr>
            <w:r>
              <w:t xml:space="preserve">Malaysia</w:t>
            </w:r>
          </w:p>
        </w:tc>
        <w:tc>
          <w:tcPr/>
          <w:p>
            <w:pPr>
              <w:pStyle w:val="Compact"/>
              <w:jc w:val="left"/>
            </w:pPr>
            <w:r>
              <w:t xml:space="preserve">22</w:t>
            </w:r>
          </w:p>
        </w:tc>
        <w:tc>
          <w:tcPr/>
          <w:p>
            <w:pPr>
              <w:pStyle w:val="Compact"/>
              <w:jc w:val="left"/>
            </w:pPr>
            <w:r>
              <w:t xml:space="preserve">16,300</w:t>
            </w:r>
          </w:p>
        </w:tc>
        <w:tc>
          <w:tcPr/>
          <w:p>
            <w:pPr>
              <w:pStyle w:val="Compact"/>
              <w:jc w:val="left"/>
            </w:pPr>
            <w:r>
              <w:t xml:space="preserve">14.7</w:t>
            </w:r>
          </w:p>
        </w:tc>
        <w:tc>
          <w:tcPr/>
          <w:p>
            <w:pPr>
              <w:pStyle w:val="Compact"/>
              <w:jc w:val="left"/>
            </w:pPr>
            <w:r>
              <w:t xml:space="preserve">48,700</w:t>
            </w:r>
          </w:p>
        </w:tc>
        <w:tc>
          <w:tcPr/>
          <w:p>
            <w:pPr>
              <w:pStyle w:val="Compact"/>
              <w:jc w:val="left"/>
            </w:pPr>
            <w:r>
              <w:t xml:space="preserve">Steady growth; partnership expansion</w:t>
            </w:r>
          </w:p>
        </w:tc>
      </w:tr>
      <w:tr>
        <w:tc>
          <w:tcPr/>
          <w:p>
            <w:pPr>
              <w:pStyle w:val="Compact"/>
              <w:jc w:val="left"/>
            </w:pPr>
            <w:r>
              <w:t xml:space="preserve">Thailand</w:t>
            </w:r>
          </w:p>
        </w:tc>
        <w:tc>
          <w:tcPr/>
          <w:p>
            <w:pPr>
              <w:pStyle w:val="Compact"/>
              <w:jc w:val="left"/>
            </w:pPr>
            <w:r>
              <w:t xml:space="preserve">18</w:t>
            </w:r>
          </w:p>
        </w:tc>
        <w:tc>
          <w:tcPr/>
          <w:p>
            <w:pPr>
              <w:pStyle w:val="Compact"/>
              <w:jc w:val="left"/>
            </w:pPr>
            <w:r>
              <w:t xml:space="preserve">13,600</w:t>
            </w:r>
          </w:p>
        </w:tc>
        <w:tc>
          <w:tcPr/>
          <w:p>
            <w:pPr>
              <w:pStyle w:val="Compact"/>
              <w:jc w:val="left"/>
            </w:pPr>
            <w:r>
              <w:t xml:space="preserve">12.3</w:t>
            </w:r>
          </w:p>
        </w:tc>
        <w:tc>
          <w:tcPr/>
          <w:p>
            <w:pPr>
              <w:pStyle w:val="Compact"/>
              <w:jc w:val="left"/>
            </w:pPr>
            <w:r>
              <w:t xml:space="preserve">33,100</w:t>
            </w:r>
          </w:p>
        </w:tc>
        <w:tc>
          <w:tcPr/>
          <w:p>
            <w:pPr>
              <w:pStyle w:val="Compact"/>
              <w:jc w:val="left"/>
            </w:pPr>
            <w:r>
              <w:t xml:space="preserve">Emerging opportunity; still building awareness</w:t>
            </w:r>
          </w:p>
        </w:tc>
      </w:tr>
      <w:tr>
        <w:tc>
          <w:tcPr/>
          <w:p>
            <w:pPr>
              <w:pStyle w:val="Compact"/>
              <w:jc w:val="left"/>
            </w:pPr>
            <w:r>
              <w:t xml:space="preserve">Brazil</w:t>
            </w:r>
          </w:p>
        </w:tc>
        <w:tc>
          <w:tcPr/>
          <w:p>
            <w:pPr>
              <w:pStyle w:val="Compact"/>
              <w:jc w:val="left"/>
            </w:pPr>
            <w:r>
              <w:t xml:space="preserve">40</w:t>
            </w:r>
          </w:p>
        </w:tc>
        <w:tc>
          <w:tcPr/>
          <w:p>
            <w:pPr>
              <w:pStyle w:val="Compact"/>
              <w:jc w:val="left"/>
            </w:pPr>
            <w:r>
              <w:t xml:space="preserve">28,500</w:t>
            </w:r>
          </w:p>
        </w:tc>
        <w:tc>
          <w:tcPr/>
          <w:p>
            <w:pPr>
              <w:pStyle w:val="Compact"/>
              <w:jc w:val="left"/>
            </w:pPr>
            <w:r>
              <w:t xml:space="preserve">25.7</w:t>
            </w:r>
          </w:p>
        </w:tc>
        <w:tc>
          <w:tcPr/>
          <w:p>
            <w:pPr>
              <w:pStyle w:val="Compact"/>
              <w:jc w:val="left"/>
            </w:pPr>
            <w:r>
              <w:t xml:space="preserve">50,800</w:t>
            </w:r>
          </w:p>
        </w:tc>
        <w:tc>
          <w:tcPr/>
          <w:p>
            <w:pPr>
              <w:pStyle w:val="Compact"/>
              <w:jc w:val="left"/>
            </w:pPr>
            <w:r>
              <w:t xml:space="preserve">Strong Q4 holiday performance</w:t>
            </w:r>
          </w:p>
        </w:tc>
      </w:tr>
      <w:tr>
        <w:tc>
          <w:tcPr/>
          <w:p>
            <w:pPr>
              <w:pStyle w:val="Compact"/>
              <w:jc w:val="left"/>
            </w:pPr>
            <w:r>
              <w:t xml:space="preserve">Mexico</w:t>
            </w:r>
          </w:p>
        </w:tc>
        <w:tc>
          <w:tcPr/>
          <w:p>
            <w:pPr>
              <w:pStyle w:val="Compact"/>
              <w:jc w:val="left"/>
            </w:pPr>
            <w:r>
              <w:t xml:space="preserve">28</w:t>
            </w:r>
          </w:p>
        </w:tc>
        <w:tc>
          <w:tcPr/>
          <w:p>
            <w:pPr>
              <w:pStyle w:val="Compact"/>
              <w:jc w:val="left"/>
            </w:pPr>
            <w:r>
              <w:t xml:space="preserve">19,200</w:t>
            </w:r>
          </w:p>
        </w:tc>
        <w:tc>
          <w:tcPr/>
          <w:p>
            <w:pPr>
              <w:pStyle w:val="Compact"/>
              <w:jc w:val="left"/>
            </w:pPr>
            <w:r>
              <w:t xml:space="preserve">17.3</w:t>
            </w:r>
          </w:p>
        </w:tc>
        <w:tc>
          <w:tcPr/>
          <w:p>
            <w:pPr>
              <w:pStyle w:val="Compact"/>
              <w:jc w:val="left"/>
            </w:pPr>
            <w:r>
              <w:t xml:space="preserve">34,000</w:t>
            </w:r>
          </w:p>
        </w:tc>
        <w:tc>
          <w:tcPr/>
          <w:p>
            <w:pPr>
              <w:pStyle w:val="Compact"/>
              <w:jc w:val="left"/>
            </w:pPr>
            <w:r>
              <w:t xml:space="preserve">B2B enterprise pipeline strong</w:t>
            </w:r>
          </w:p>
        </w:tc>
      </w:tr>
      <w:tr>
        <w:tc>
          <w:tcPr/>
          <w:p>
            <w:pPr>
              <w:pStyle w:val="Compact"/>
              <w:jc w:val="left"/>
            </w:pPr>
            <w:r>
              <w:t xml:space="preserve">Colombia</w:t>
            </w:r>
          </w:p>
        </w:tc>
        <w:tc>
          <w:tcPr/>
          <w:p>
            <w:pPr>
              <w:pStyle w:val="Compact"/>
              <w:jc w:val="left"/>
            </w:pPr>
            <w:r>
              <w:t xml:space="preserve">15</w:t>
            </w:r>
          </w:p>
        </w:tc>
        <w:tc>
          <w:tcPr/>
          <w:p>
            <w:pPr>
              <w:pStyle w:val="Compact"/>
              <w:jc w:val="left"/>
            </w:pPr>
            <w:r>
              <w:t xml:space="preserve">8,600</w:t>
            </w:r>
          </w:p>
        </w:tc>
        <w:tc>
          <w:tcPr/>
          <w:p>
            <w:pPr>
              <w:pStyle w:val="Compact"/>
              <w:jc w:val="left"/>
            </w:pPr>
            <w:r>
              <w:t xml:space="preserve">7.8</w:t>
            </w:r>
          </w:p>
        </w:tc>
        <w:tc>
          <w:tcPr/>
          <w:p>
            <w:pPr>
              <w:pStyle w:val="Compact"/>
              <w:jc w:val="left"/>
            </w:pPr>
            <w:r>
              <w:t xml:space="preserve">15,500</w:t>
            </w:r>
          </w:p>
        </w:tc>
        <w:tc>
          <w:tcPr/>
          <w:p>
            <w:pPr>
              <w:pStyle w:val="Compact"/>
              <w:jc w:val="left"/>
            </w:pPr>
            <w:r>
              <w:t xml:space="preserve">Building foundation; gradual ramp</w:t>
            </w:r>
          </w:p>
        </w:tc>
      </w:tr>
    </w:tbl>
    <w:p>
      <w:pPr>
        <w:pStyle w:val="BodyText"/>
      </w:pPr>
      <w:r>
        <w:rPr>
          <w:b/>
          <w:bCs/>
        </w:rPr>
        <w:t xml:space="preserve">Total Q4 New Customer Acquisitions: 198,200</w:t>
      </w:r>
      <w:r>
        <w:t xml:space="preserve"> </w:t>
      </w:r>
      <w:r>
        <w:rPr>
          <w:b/>
          <w:bCs/>
        </w:rPr>
        <w:t xml:space="preserve">Total 2024 Customer Acquisitions: 685,100</w:t>
      </w:r>
      <w:r>
        <w:t xml:space="preserve"> </w:t>
      </w:r>
      <w:r>
        <w:t xml:space="preserve">(across all quarters: Q1 148.5K, Q2 162.8K, Q3 175.3K, Q4 198.2K)</w:t>
      </w:r>
    </w:p>
    <w:p>
      <w:r>
        <w:pict>
          <v:rect style="width:0;height:1.5pt" o:hralign="center" o:hrstd="t" o:hr="t"/>
        </w:pict>
      </w:r>
    </w:p>
    <w:bookmarkEnd w:id="26"/>
    <w:bookmarkStart w:id="27" w:name="X6f33e7cfac6e810df44f4e736e2610556b48655"/>
    <w:p>
      <w:pPr>
        <w:pStyle w:val="Heading2"/>
      </w:pPr>
      <w:r>
        <w:t xml:space="preserve">Campaign Spotlight: Black Friday / Cyber Monday</w:t>
      </w:r>
    </w:p>
    <w:p>
      <w:pPr>
        <w:pStyle w:val="FirstParagraph"/>
      </w:pPr>
      <w:r>
        <w:rPr>
          <w:b/>
          <w:bCs/>
        </w:rPr>
        <w:t xml:space="preserve">Objective:</w:t>
      </w:r>
      <w:r>
        <w:t xml:space="preserve"> </w:t>
      </w:r>
      <w:r>
        <w:t xml:space="preserve">Maximize holiday season demand and customer acquisition through aggressive promotional marketing</w:t>
      </w:r>
      <w:r>
        <w:t xml:space="preserve"> </w:t>
      </w:r>
      <w:r>
        <w:rPr>
          <w:b/>
          <w:bCs/>
        </w:rPr>
        <w:t xml:space="preserve">Budget:</w:t>
      </w:r>
      <w:r>
        <w:t xml:space="preserve"> </w:t>
      </w:r>
      <w:r>
        <w:t xml:space="preserve">₹72 Lakh |</w:t>
      </w:r>
      <w:r>
        <w:t xml:space="preserve"> </w:t>
      </w:r>
      <w:r>
        <w:rPr>
          <w:b/>
          <w:bCs/>
        </w:rPr>
        <w:t xml:space="preserve">Duration:</w:t>
      </w:r>
      <w:r>
        <w:t xml:space="preserve"> </w:t>
      </w:r>
      <w:r>
        <w:t xml:space="preserve">6 weeks (Oct 25 - Dec 5, with main push Nov 24-Dec 2)</w:t>
      </w:r>
    </w:p>
    <w:p>
      <w:pPr>
        <w:pStyle w:val="BodyText"/>
      </w:pPr>
      <w:r>
        <w:rPr>
          <w:b/>
          <w:bCs/>
        </w:rPr>
        <w:t xml:space="preserve">Campaign Strategy:</w:t>
      </w:r>
      <w:r>
        <w:t xml:space="preserve"> </w:t>
      </w:r>
      <w:r>
        <w:t xml:space="preserve">- Tiered discount structure: 15% (Early Bird: Oct 25-Nov 23), 25% (Black Friday: Nov 24-28), 20% (Cyber Monday: Nov 25-Dec 2), 10% (Flash sales Dec 3-5)</w:t>
      </w:r>
      <w:r>
        <w:t xml:space="preserve"> </w:t>
      </w:r>
      <w:r>
        <w:t xml:space="preserve">- Omnichannel promotion: Email (5 waves), SMS (3 waves), social ads, paid search, influencer content</w:t>
      </w:r>
      <w:r>
        <w:t xml:space="preserve"> </w:t>
      </w:r>
      <w:r>
        <w:t xml:space="preserve">- Loyalty program bonus: 2x points during campaign period</w:t>
      </w:r>
      <w:r>
        <w:t xml:space="preserve"> </w:t>
      </w:r>
      <w:r>
        <w:t xml:space="preserve">- Referral incentive spike: ₹500 (vs. normal ₹250) for successful referrals</w:t>
      </w:r>
    </w:p>
    <w:p>
      <w:pPr>
        <w:pStyle w:val="BodyText"/>
      </w:pPr>
      <w:r>
        <w:rPr>
          <w:b/>
          <w:bCs/>
        </w:rPr>
        <w:t xml:space="preserve">Campaign Assets:</w:t>
      </w:r>
      <w:r>
        <w:t xml:space="preserve"> </w:t>
      </w:r>
      <w:r>
        <w:t xml:space="preserve">- 42 unique email variations (segmented by customer lifecycle)</w:t>
      </w:r>
      <w:r>
        <w:t xml:space="preserve"> </w:t>
      </w:r>
      <w:r>
        <w:t xml:space="preserve">- 28 social media ad creative variations</w:t>
      </w:r>
      <w:r>
        <w:t xml:space="preserve"> </w:t>
      </w:r>
      <w:r>
        <w:t xml:space="preserve">- 8 video ads for YouTube/TikTok (3-60 seconds)</w:t>
      </w:r>
      <w:r>
        <w:t xml:space="preserve"> </w:t>
      </w:r>
      <w:r>
        <w:t xml:space="preserve">- 150+ SMS messages (optimized for time zones across regions)</w:t>
      </w:r>
      <w:r>
        <w:t xml:space="preserve"> </w:t>
      </w:r>
      <w:r>
        <w:t xml:space="preserve">- Influencer content: 35 creators, 18,500 social posts</w:t>
      </w:r>
    </w:p>
    <w:p>
      <w:pPr>
        <w:pStyle w:val="BodyText"/>
      </w:pPr>
      <w:r>
        <w:rPr>
          <w:b/>
          <w:bCs/>
        </w:rPr>
        <w:t xml:space="preserve">Results:</w:t>
      </w:r>
      <w:r>
        <w:t xml:space="preserve"> </w:t>
      </w:r>
      <w:r>
        <w:t xml:space="preserve">- 19,700 conversions from 4.2M impressions</w:t>
      </w:r>
      <w:r>
        <w:t xml:space="preserve"> </w:t>
      </w:r>
      <w:r>
        <w:t xml:space="preserve">- ₹52.1 Lakh in attributed revenue</w:t>
      </w:r>
      <w:r>
        <w:t xml:space="preserve"> </w:t>
      </w:r>
      <w:r>
        <w:t xml:space="preserve">- 3.64x ROI (strong for holiday season)</w:t>
      </w:r>
      <w:r>
        <w:t xml:space="preserve"> </w:t>
      </w:r>
      <w:r>
        <w:t xml:space="preserve">- 34,200 new loyalty program enrollments during campaign</w:t>
      </w:r>
      <w:r>
        <w:t xml:space="preserve"> </w:t>
      </w:r>
      <w:r>
        <w:t xml:space="preserve">- 8,500 referral-driven acquisitions (43% of campaign conversions)</w:t>
      </w:r>
      <w:r>
        <w:t xml:space="preserve"> </w:t>
      </w:r>
      <w:r>
        <w:t xml:space="preserve">- 98,500 total clicks (2.3% CTR; above digital benchmark of 1.5%)</w:t>
      </w:r>
      <w:r>
        <w:t xml:space="preserve"> </w:t>
      </w:r>
      <w:r>
        <w:t xml:space="preserve">- Peak traffic spike: 2.3M impressions in single day (Nov 24)</w:t>
      </w:r>
    </w:p>
    <w:p>
      <w:pPr>
        <w:pStyle w:val="BodyText"/>
      </w:pPr>
      <w:r>
        <w:rPr>
          <w:b/>
          <w:bCs/>
        </w:rPr>
        <w:t xml:space="preserve">Notable Metrics:</w:t>
      </w:r>
      <w:r>
        <w:t xml:space="preserve"> </w:t>
      </w:r>
      <w:r>
        <w:t xml:space="preserve">- Email channel: 35% open rate, 7.2% click rate (vs. annual average 22% / 4.1%)</w:t>
      </w:r>
      <w:r>
        <w:t xml:space="preserve"> </w:t>
      </w:r>
      <w:r>
        <w:t xml:space="preserve">- SMS channel: 42% read rate (within 4 hours), 8.9% click rate</w:t>
      </w:r>
      <w:r>
        <w:t xml:space="preserve"> </w:t>
      </w:r>
      <w:r>
        <w:t xml:space="preserve">- Social ads: 2.8% CTR, 6.2% conversion rate (best of any Q4 channel)</w:t>
      </w:r>
      <w:r>
        <w:t xml:space="preserve"> </w:t>
      </w:r>
      <w:r>
        <w:t xml:space="preserve">- Video ads: 4.2% view-through rate, 3.8% CTR</w:t>
      </w:r>
    </w:p>
    <w:p>
      <w:r>
        <w:pict>
          <v:rect style="width:0;height:1.5pt" o:hralign="center" o:hrstd="t" o:hr="t"/>
        </w:pict>
      </w:r>
    </w:p>
    <w:bookmarkEnd w:id="27"/>
    <w:bookmarkStart w:id="28" w:name="X728680686bed1a51bdf763901b749d5b3a718ed"/>
    <w:p>
      <w:pPr>
        <w:pStyle w:val="Heading2"/>
      </w:pPr>
      <w:r>
        <w:t xml:space="preserve">Campaign Spotlight: B2B Enterprise Holiday Push</w:t>
      </w:r>
    </w:p>
    <w:p>
      <w:pPr>
        <w:pStyle w:val="FirstParagraph"/>
      </w:pPr>
      <w:r>
        <w:rPr>
          <w:b/>
          <w:bCs/>
        </w:rPr>
        <w:t xml:space="preserve">Objective:</w:t>
      </w:r>
      <w:r>
        <w:t xml:space="preserve"> </w:t>
      </w:r>
      <w:r>
        <w:t xml:space="preserve">Capture year-end enterprise software buying cycle and close high-value contracts</w:t>
      </w:r>
      <w:r>
        <w:t xml:space="preserve"> </w:t>
      </w:r>
      <w:r>
        <w:rPr>
          <w:b/>
          <w:bCs/>
        </w:rPr>
        <w:t xml:space="preserve">Budget:</w:t>
      </w:r>
      <w:r>
        <w:t xml:space="preserve"> </w:t>
      </w:r>
      <w:r>
        <w:t xml:space="preserve">₹58 Lakh |</w:t>
      </w:r>
      <w:r>
        <w:t xml:space="preserve"> </w:t>
      </w:r>
      <w:r>
        <w:rPr>
          <w:b/>
          <w:bCs/>
        </w:rPr>
        <w:t xml:space="preserve">Duration:</w:t>
      </w:r>
      <w:r>
        <w:t xml:space="preserve"> </w:t>
      </w:r>
      <w:r>
        <w:t xml:space="preserve">8 weeks (Oct 15 - Dec 15)</w:t>
      </w:r>
    </w:p>
    <w:p>
      <w:pPr>
        <w:pStyle w:val="BodyText"/>
      </w:pPr>
      <w:r>
        <w:rPr>
          <w:b/>
          <w:bCs/>
        </w:rPr>
        <w:t xml:space="preserve">Campaign Channels:</w:t>
      </w:r>
      <w:r>
        <w:t xml:space="preserve"> </w:t>
      </w:r>
      <w:r>
        <w:t xml:space="preserve">- LinkedIn Sales Navigator targeting 850 CFOs and payment managers at mid-market/enterprise companies</w:t>
      </w:r>
      <w:r>
        <w:t xml:space="preserve"> </w:t>
      </w:r>
      <w:r>
        <w:t xml:space="preserve">- Customized email sequences (8 touchpoints over 10 weeks)</w:t>
      </w:r>
      <w:r>
        <w:t xml:space="preserve"> </w:t>
      </w:r>
      <w:r>
        <w:t xml:space="preserve">- Virtual webinar series:</w:t>
      </w:r>
      <w:r>
        <w:t xml:space="preserve"> </w:t>
      </w:r>
      <w:r>
        <w:t xml:space="preserve">“</w:t>
      </w:r>
      <w:r>
        <w:t xml:space="preserve">Enterprise Payment Transformation 2025</w:t>
      </w:r>
      <w:r>
        <w:t xml:space="preserve">”</w:t>
      </w:r>
      <w:r>
        <w:t xml:space="preserve"> </w:t>
      </w:r>
      <w:r>
        <w:t xml:space="preserve">(4 sessions, 2,400+ attendees)</w:t>
      </w:r>
      <w:r>
        <w:t xml:space="preserve"> </w:t>
      </w:r>
      <w:r>
        <w:t xml:space="preserve">- Account-based marketing (ABM) for top 75 enterprise accounts (personalized landing pages, custom PDFs)</w:t>
      </w:r>
      <w:r>
        <w:t xml:space="preserve"> </w:t>
      </w:r>
      <w:r>
        <w:t xml:space="preserve">- Holiday corporate gift campaign (branded hardware + free trial)</w:t>
      </w:r>
      <w:r>
        <w:t xml:space="preserve"> </w:t>
      </w:r>
      <w:r>
        <w:t xml:space="preserve">- Sales enablement: ROI calculators, case studies, white papers (12 new assets created)</w:t>
      </w:r>
    </w:p>
    <w:p>
      <w:pPr>
        <w:pStyle w:val="BodyText"/>
      </w:pPr>
      <w:r>
        <w:rPr>
          <w:b/>
          <w:bCs/>
        </w:rPr>
        <w:t xml:space="preserve">Sales Support:</w:t>
      </w:r>
      <w:r>
        <w:t xml:space="preserve"> </w:t>
      </w:r>
      <w:r>
        <w:t xml:space="preserve">- 45 sales calls with CXOs</w:t>
      </w:r>
      <w:r>
        <w:t xml:space="preserve"> </w:t>
      </w:r>
      <w:r>
        <w:t xml:space="preserve">- 28 live product demos to C-suite</w:t>
      </w:r>
      <w:r>
        <w:t xml:space="preserve"> </w:t>
      </w:r>
      <w:r>
        <w:t xml:space="preserve">- 15 contract negotiations completed before year-end</w:t>
      </w:r>
    </w:p>
    <w:p>
      <w:pPr>
        <w:pStyle w:val="BodyText"/>
      </w:pPr>
      <w:r>
        <w:rPr>
          <w:b/>
          <w:bCs/>
        </w:rPr>
        <w:t xml:space="preserve">Results:</w:t>
      </w:r>
      <w:r>
        <w:t xml:space="preserve"> </w:t>
      </w:r>
      <w:r>
        <w:t xml:space="preserve">- 5,780 qualified B2B leads (2.8x higher quality vs. Q2-Q3 average)</w:t>
      </w:r>
      <w:r>
        <w:t xml:space="preserve"> </w:t>
      </w:r>
      <w:r>
        <w:t xml:space="preserve">- 32 new enterprise customers closed (₹3.2 Crore total ACV)</w:t>
      </w:r>
      <w:r>
        <w:t xml:space="preserve"> </w:t>
      </w:r>
      <w:r>
        <w:t xml:space="preserve">- 15 customers in contract negotiation (projected ₹2.1 Crore future ARR)</w:t>
      </w:r>
      <w:r>
        <w:t xml:space="preserve"> </w:t>
      </w:r>
      <w:r>
        <w:t xml:space="preserve">- ₹38.5 Lakh in attributed revenue</w:t>
      </w:r>
      <w:r>
        <w:t xml:space="preserve"> </w:t>
      </w:r>
      <w:r>
        <w:t xml:space="preserve">- 3.31x ROI on campaign spend</w:t>
      </w:r>
      <w:r>
        <w:t xml:space="preserve"> </w:t>
      </w:r>
      <w:r>
        <w:t xml:space="preserve">- 24% open rate on LinkedIn InMails (vs. 8% industry average)</w:t>
      </w:r>
      <w:r>
        <w:t xml:space="preserve"> </w:t>
      </w:r>
      <w:r>
        <w:t xml:space="preserve">- 6.8% enterprise-segment conversion rate (vs. 1.8% SMB average)</w:t>
      </w:r>
      <w:r>
        <w:t xml:space="preserve"> </w:t>
      </w:r>
      <w:r>
        <w:t xml:space="preserve">- Average enterprise deal size: ₹100 Lakh ACV (up from ₹75 Lakh in Q2)</w:t>
      </w:r>
    </w:p>
    <w:p>
      <w:pPr>
        <w:pStyle w:val="BodyText"/>
      </w:pPr>
      <w:r>
        <w:rPr>
          <w:b/>
          <w:bCs/>
        </w:rPr>
        <w:t xml:space="preserve">Notable Wins:</w:t>
      </w:r>
      <w:r>
        <w:t xml:space="preserve"> </w:t>
      </w:r>
      <w:r>
        <w:t xml:space="preserve">- 3 Fortune 500 companies signed multi-year contracts</w:t>
      </w:r>
      <w:r>
        <w:t xml:space="preserve"> </w:t>
      </w:r>
      <w:r>
        <w:t xml:space="preserve">- Government payment integration pilot in Mexico (projected ₹2.5 Crore annual revenue)</w:t>
      </w:r>
      <w:r>
        <w:t xml:space="preserve"> </w:t>
      </w:r>
      <w:r>
        <w:t xml:space="preserve">- Banking consortium partnership (projected ₹5+ Crore annual revenue, signing Q1 2025)</w:t>
      </w:r>
    </w:p>
    <w:p>
      <w:pPr>
        <w:pStyle w:val="BodyText"/>
      </w:pPr>
      <w:r>
        <w:rPr>
          <w:b/>
          <w:bCs/>
        </w:rPr>
        <w:t xml:space="preserve">Year-End B2B Summary:</w:t>
      </w:r>
      <w:r>
        <w:t xml:space="preserve"> </w:t>
      </w:r>
      <w:r>
        <w:t xml:space="preserve">2024 B2B enterprise segment contributed ₹87.2 Lakh in revenue across all quarters (Q2: 29.4L, Q3: 19.3L, Q4: 38.5L), demonstrating accelerating momentum in enterprise segment.</w:t>
      </w:r>
    </w:p>
    <w:p>
      <w:r>
        <w:pict>
          <v:rect style="width:0;height:1.5pt" o:hralign="center" o:hrstd="t" o:hr="t"/>
        </w:pict>
      </w:r>
    </w:p>
    <w:bookmarkEnd w:id="28"/>
    <w:bookmarkStart w:id="29" w:name="performance-vs.-targets"/>
    <w:p>
      <w:pPr>
        <w:pStyle w:val="Heading2"/>
      </w:pPr>
      <w:r>
        <w:t xml:space="preserve">Performance vs. Targets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KPI</w:t>
            </w:r>
          </w:p>
        </w:tc>
        <w:tc>
          <w:tcPr/>
          <w:p>
            <w:pPr>
              <w:pStyle w:val="Compact"/>
              <w:jc w:val="left"/>
            </w:pPr>
            <w:r>
              <w:t xml:space="preserve">Target</w:t>
            </w:r>
          </w:p>
        </w:tc>
        <w:tc>
          <w:tcPr/>
          <w:p>
            <w:pPr>
              <w:pStyle w:val="Compact"/>
              <w:jc w:val="left"/>
            </w:pPr>
            <w:r>
              <w:t xml:space="preserve">Actual</w:t>
            </w:r>
          </w:p>
        </w:tc>
        <w:tc>
          <w:tcPr/>
          <w:p>
            <w:pPr>
              <w:pStyle w:val="Compact"/>
              <w:jc w:val="left"/>
            </w:pPr>
            <w:r>
              <w:t xml:space="preserve">Status</w:t>
            </w:r>
          </w:p>
        </w:tc>
        <w:tc>
          <w:tcPr/>
          <w:p>
            <w:pPr>
              <w:pStyle w:val="Compact"/>
              <w:jc w:val="left"/>
            </w:pPr>
            <w:r>
              <w:t xml:space="preserve">Variance</w:t>
            </w:r>
          </w:p>
        </w:tc>
      </w:tr>
      <w:tr>
        <w:tc>
          <w:tcPr/>
          <w:p>
            <w:pPr>
              <w:pStyle w:val="Compact"/>
              <w:jc w:val="left"/>
            </w:pPr>
            <w:r>
              <w:t xml:space="preserve">Customer Acquisitions</w:t>
            </w:r>
          </w:p>
        </w:tc>
        <w:tc>
          <w:tcPr/>
          <w:p>
            <w:pPr>
              <w:pStyle w:val="Compact"/>
              <w:jc w:val="left"/>
            </w:pPr>
            <w:r>
              <w:t xml:space="preserve">195,000</w:t>
            </w:r>
          </w:p>
        </w:tc>
        <w:tc>
          <w:tcPr/>
          <w:p>
            <w:pPr>
              <w:pStyle w:val="Compact"/>
              <w:jc w:val="left"/>
            </w:pPr>
            <w:r>
              <w:t xml:space="preserve">198,200</w:t>
            </w:r>
          </w:p>
        </w:tc>
        <w:tc>
          <w:tcPr/>
          <w:p>
            <w:pPr>
              <w:pStyle w:val="Compact"/>
              <w:jc w:val="left"/>
            </w:pPr>
            <w:r>
              <w:t xml:space="preserve">✓ Beat</w:t>
            </w:r>
          </w:p>
        </w:tc>
        <w:tc>
          <w:tcPr/>
          <w:p>
            <w:pPr>
              <w:pStyle w:val="Compact"/>
              <w:jc w:val="left"/>
            </w:pPr>
            <w:r>
              <w:t xml:space="preserve">+3,200 (+1.6%)</w:t>
            </w:r>
          </w:p>
        </w:tc>
      </w:tr>
      <w:tr>
        <w:tc>
          <w:tcPr/>
          <w:p>
            <w:pPr>
              <w:pStyle w:val="Compact"/>
              <w:jc w:val="left"/>
            </w:pPr>
            <w:r>
              <w:t xml:space="preserve">Revenue Target</w:t>
            </w:r>
          </w:p>
        </w:tc>
        <w:tc>
          <w:tcPr/>
          <w:p>
            <w:pPr>
              <w:pStyle w:val="Compact"/>
              <w:jc w:val="left"/>
            </w:pPr>
            <w:r>
              <w:t xml:space="preserve">₹110 Lakh</w:t>
            </w:r>
          </w:p>
        </w:tc>
        <w:tc>
          <w:tcPr/>
          <w:p>
            <w:pPr>
              <w:pStyle w:val="Compact"/>
              <w:jc w:val="left"/>
            </w:pPr>
            <w:r>
              <w:t xml:space="preserve">₹112.4 Lakh</w:t>
            </w:r>
          </w:p>
        </w:tc>
        <w:tc>
          <w:tcPr/>
          <w:p>
            <w:pPr>
              <w:pStyle w:val="Compact"/>
              <w:jc w:val="left"/>
            </w:pPr>
            <w:r>
              <w:t xml:space="preserve">✓ Beat</w:t>
            </w:r>
          </w:p>
        </w:tc>
        <w:tc>
          <w:tcPr/>
          <w:p>
            <w:pPr>
              <w:pStyle w:val="Compact"/>
              <w:jc w:val="left"/>
            </w:pPr>
            <w:r>
              <w:t xml:space="preserve">+2.4L (+2.2%)</w:t>
            </w:r>
          </w:p>
        </w:tc>
      </w:tr>
      <w:tr>
        <w:tc>
          <w:tcPr/>
          <w:p>
            <w:pPr>
              <w:pStyle w:val="Compact"/>
              <w:jc w:val="left"/>
            </w:pPr>
            <w:r>
              <w:t xml:space="preserve">Average CAC</w:t>
            </w:r>
          </w:p>
        </w:tc>
        <w:tc>
          <w:tcPr/>
          <w:p>
            <w:pPr>
              <w:pStyle w:val="Compact"/>
              <w:jc w:val="left"/>
            </w:pPr>
            <w:r>
              <w:t xml:space="preserve">₹2,000</w:t>
            </w:r>
          </w:p>
        </w:tc>
        <w:tc>
          <w:tcPr/>
          <w:p>
            <w:pPr>
              <w:pStyle w:val="Compact"/>
              <w:jc w:val="left"/>
            </w:pPr>
            <w:r>
              <w:t xml:space="preserve">₹1,968</w:t>
            </w:r>
          </w:p>
        </w:tc>
        <w:tc>
          <w:tcPr/>
          <w:p>
            <w:pPr>
              <w:pStyle w:val="Compact"/>
              <w:jc w:val="left"/>
            </w:pPr>
            <w:r>
              <w:t xml:space="preserve">✓ Beat</w:t>
            </w:r>
          </w:p>
        </w:tc>
        <w:tc>
          <w:tcPr/>
          <w:p>
            <w:pPr>
              <w:pStyle w:val="Compact"/>
              <w:jc w:val="left"/>
            </w:pPr>
            <w:r>
              <w:t xml:space="preserve">-₹32 (-1.6%)</w:t>
            </w:r>
          </w:p>
        </w:tc>
      </w:tr>
      <w:tr>
        <w:tc>
          <w:tcPr/>
          <w:p>
            <w:pPr>
              <w:pStyle w:val="Compact"/>
              <w:jc w:val="left"/>
            </w:pPr>
            <w:r>
              <w:t xml:space="preserve">ROI Target</w:t>
            </w:r>
          </w:p>
        </w:tc>
        <w:tc>
          <w:tcPr/>
          <w:p>
            <w:pPr>
              <w:pStyle w:val="Compact"/>
              <w:jc w:val="left"/>
            </w:pPr>
            <w:r>
              <w:t xml:space="preserve">3.8x</w:t>
            </w:r>
          </w:p>
        </w:tc>
        <w:tc>
          <w:tcPr/>
          <w:p>
            <w:pPr>
              <w:pStyle w:val="Compact"/>
              <w:jc w:val="left"/>
            </w:pPr>
            <w:r>
              <w:t xml:space="preserve">3.87x</w:t>
            </w:r>
          </w:p>
        </w:tc>
        <w:tc>
          <w:tcPr/>
          <w:p>
            <w:pPr>
              <w:pStyle w:val="Compact"/>
              <w:jc w:val="left"/>
            </w:pPr>
            <w:r>
              <w:t xml:space="preserve">✓ Beat</w:t>
            </w:r>
          </w:p>
        </w:tc>
        <w:tc>
          <w:tcPr/>
          <w:p>
            <w:pPr>
              <w:pStyle w:val="Compact"/>
              <w:jc w:val="left"/>
            </w:pPr>
            <w:r>
              <w:t xml:space="preserve">+0.07x (+1.8%)</w:t>
            </w:r>
          </w:p>
        </w:tc>
      </w:tr>
      <w:tr>
        <w:tc>
          <w:tcPr/>
          <w:p>
            <w:pPr>
              <w:pStyle w:val="Compact"/>
              <w:jc w:val="left"/>
            </w:pPr>
            <w:r>
              <w:t xml:space="preserve">B2B Enterprise Revenue</w:t>
            </w:r>
          </w:p>
        </w:tc>
        <w:tc>
          <w:tcPr/>
          <w:p>
            <w:pPr>
              <w:pStyle w:val="Compact"/>
              <w:jc w:val="left"/>
            </w:pPr>
            <w:r>
              <w:t xml:space="preserve">₹32 Lakh</w:t>
            </w:r>
          </w:p>
        </w:tc>
        <w:tc>
          <w:tcPr/>
          <w:p>
            <w:pPr>
              <w:pStyle w:val="Compact"/>
              <w:jc w:val="left"/>
            </w:pPr>
            <w:r>
              <w:t xml:space="preserve">₹38.5 Lakh</w:t>
            </w:r>
          </w:p>
        </w:tc>
        <w:tc>
          <w:tcPr/>
          <w:p>
            <w:pPr>
              <w:pStyle w:val="Compact"/>
              <w:jc w:val="left"/>
            </w:pPr>
            <w:r>
              <w:t xml:space="preserve">✓ Beat</w:t>
            </w:r>
          </w:p>
        </w:tc>
        <w:tc>
          <w:tcPr/>
          <w:p>
            <w:pPr>
              <w:pStyle w:val="Compact"/>
              <w:jc w:val="left"/>
            </w:pPr>
            <w:r>
              <w:t xml:space="preserve">+6.5L (+20.3%)</w:t>
            </w:r>
          </w:p>
        </w:tc>
      </w:tr>
      <w:tr>
        <w:tc>
          <w:tcPr/>
          <w:p>
            <w:pPr>
              <w:pStyle w:val="Compact"/>
              <w:jc w:val="left"/>
            </w:pPr>
            <w:r>
              <w:t xml:space="preserve">Holiday Campaign Revenue</w:t>
            </w:r>
          </w:p>
        </w:tc>
        <w:tc>
          <w:tcPr/>
          <w:p>
            <w:pPr>
              <w:pStyle w:val="Compact"/>
              <w:jc w:val="left"/>
            </w:pPr>
            <w:r>
              <w:t xml:space="preserve">₹48 Lakh</w:t>
            </w:r>
          </w:p>
        </w:tc>
        <w:tc>
          <w:tcPr/>
          <w:p>
            <w:pPr>
              <w:pStyle w:val="Compact"/>
              <w:jc w:val="left"/>
            </w:pPr>
            <w:r>
              <w:t xml:space="preserve">₹52.1 Lakh</w:t>
            </w:r>
          </w:p>
        </w:tc>
        <w:tc>
          <w:tcPr/>
          <w:p>
            <w:pPr>
              <w:pStyle w:val="Compact"/>
              <w:jc w:val="left"/>
            </w:pPr>
            <w:r>
              <w:t xml:space="preserve">✓ Beat</w:t>
            </w:r>
          </w:p>
        </w:tc>
        <w:tc>
          <w:tcPr/>
          <w:p>
            <w:pPr>
              <w:pStyle w:val="Compact"/>
              <w:jc w:val="left"/>
            </w:pPr>
            <w:r>
              <w:t xml:space="preserve">+4.1L (+8.5%)</w:t>
            </w:r>
          </w:p>
        </w:tc>
      </w:tr>
      <w:tr>
        <w:tc>
          <w:tcPr/>
          <w:p>
            <w:pPr>
              <w:pStyle w:val="Compact"/>
              <w:jc w:val="left"/>
            </w:pPr>
            <w:r>
              <w:t xml:space="preserve">Combined Social Followers</w:t>
            </w:r>
          </w:p>
        </w:tc>
        <w:tc>
          <w:tcPr/>
          <w:p>
            <w:pPr>
              <w:pStyle w:val="Compact"/>
              <w:jc w:val="left"/>
            </w:pPr>
            <w:r>
              <w:t xml:space="preserve">1.0M</w:t>
            </w:r>
          </w:p>
        </w:tc>
        <w:tc>
          <w:tcPr/>
          <w:p>
            <w:pPr>
              <w:pStyle w:val="Compact"/>
              <w:jc w:val="left"/>
            </w:pPr>
            <w:r>
              <w:t xml:space="preserve">1.83M</w:t>
            </w:r>
          </w:p>
        </w:tc>
        <w:tc>
          <w:tcPr/>
          <w:p>
            <w:pPr>
              <w:pStyle w:val="Compact"/>
              <w:jc w:val="left"/>
            </w:pPr>
            <w:r>
              <w:t xml:space="preserve">✓ Beat</w:t>
            </w:r>
          </w:p>
        </w:tc>
        <w:tc>
          <w:tcPr/>
          <w:p>
            <w:pPr>
              <w:pStyle w:val="Compact"/>
              <w:jc w:val="left"/>
            </w:pPr>
            <w:r>
              <w:t xml:space="preserve">+830K (+83%)</w:t>
            </w:r>
          </w:p>
        </w:tc>
      </w:tr>
    </w:tbl>
    <w:p>
      <w:r>
        <w:pict>
          <v:rect style="width:0;height:1.5pt" o:hralign="center" o:hrstd="t" o:hr="t"/>
        </w:pict>
      </w:r>
    </w:p>
    <w:bookmarkEnd w:id="29"/>
    <w:bookmarkStart w:id="32" w:name="full-year-performance"/>
    <w:p>
      <w:pPr>
        <w:pStyle w:val="Heading2"/>
      </w:pPr>
      <w:r>
        <w:t xml:space="preserve">2024 Full-Year Performance</w:t>
      </w:r>
    </w:p>
    <w:bookmarkStart w:id="30" w:name="annual-summary-table"/>
    <w:p>
      <w:pPr>
        <w:pStyle w:val="Heading3"/>
      </w:pPr>
      <w:r>
        <w:t xml:space="preserve">Annual Summary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Metric</w:t>
            </w:r>
          </w:p>
        </w:tc>
        <w:tc>
          <w:tcPr/>
          <w:p>
            <w:pPr>
              <w:pStyle w:val="Compact"/>
              <w:jc w:val="left"/>
            </w:pPr>
            <w:r>
              <w:t xml:space="preserve">Q1</w:t>
            </w:r>
          </w:p>
        </w:tc>
        <w:tc>
          <w:tcPr/>
          <w:p>
            <w:pPr>
              <w:pStyle w:val="Compact"/>
              <w:jc w:val="left"/>
            </w:pPr>
            <w:r>
              <w:t xml:space="preserve">Q2</w:t>
            </w:r>
          </w:p>
        </w:tc>
        <w:tc>
          <w:tcPr/>
          <w:p>
            <w:pPr>
              <w:pStyle w:val="Compact"/>
              <w:jc w:val="left"/>
            </w:pPr>
            <w:r>
              <w:t xml:space="preserve">Q3</w:t>
            </w:r>
          </w:p>
        </w:tc>
        <w:tc>
          <w:tcPr/>
          <w:p>
            <w:pPr>
              <w:pStyle w:val="Compact"/>
              <w:jc w:val="left"/>
            </w:pPr>
            <w:r>
              <w:t xml:space="preserve">Q4</w:t>
            </w:r>
          </w:p>
        </w:tc>
        <w:tc>
          <w:tcPr/>
          <w:p>
            <w:pPr>
              <w:pStyle w:val="Compact"/>
              <w:jc w:val="left"/>
            </w:pPr>
            <w:r>
              <w:t xml:space="preserve">2024 Total</w:t>
            </w:r>
          </w:p>
        </w:tc>
        <w:tc>
          <w:tcPr/>
          <w:p>
            <w:pPr>
              <w:pStyle w:val="Compact"/>
              <w:jc w:val="left"/>
            </w:pPr>
            <w:r>
              <w:t xml:space="preserve">2023 Total</w:t>
            </w:r>
          </w:p>
        </w:tc>
        <w:tc>
          <w:tcPr/>
          <w:p>
            <w:pPr>
              <w:pStyle w:val="Compact"/>
              <w:jc w:val="left"/>
            </w:pPr>
            <w:r>
              <w:t xml:space="preserve">YoY Growth</w:t>
            </w:r>
          </w:p>
        </w:tc>
      </w:tr>
      <w:tr>
        <w:tc>
          <w:tcPr/>
          <w:p>
            <w:pPr>
              <w:pStyle w:val="Compact"/>
              <w:jc w:val="left"/>
            </w:pPr>
            <w:r>
              <w:t xml:space="preserve">New Customers</w:t>
            </w:r>
          </w:p>
        </w:tc>
        <w:tc>
          <w:tcPr/>
          <w:p>
            <w:pPr>
              <w:pStyle w:val="Compact"/>
              <w:jc w:val="left"/>
            </w:pPr>
            <w:r>
              <w:t xml:space="preserve">148,500</w:t>
            </w:r>
          </w:p>
        </w:tc>
        <w:tc>
          <w:tcPr/>
          <w:p>
            <w:pPr>
              <w:pStyle w:val="Compact"/>
              <w:jc w:val="left"/>
            </w:pPr>
            <w:r>
              <w:t xml:space="preserve">162,800</w:t>
            </w:r>
          </w:p>
        </w:tc>
        <w:tc>
          <w:tcPr/>
          <w:p>
            <w:pPr>
              <w:pStyle w:val="Compact"/>
              <w:jc w:val="left"/>
            </w:pPr>
            <w:r>
              <w:t xml:space="preserve">175,300</w:t>
            </w:r>
          </w:p>
        </w:tc>
        <w:tc>
          <w:tcPr/>
          <w:p>
            <w:pPr>
              <w:pStyle w:val="Compact"/>
              <w:jc w:val="left"/>
            </w:pPr>
            <w:r>
              <w:t xml:space="preserve">198,200</w:t>
            </w:r>
          </w:p>
        </w:tc>
        <w:tc>
          <w:tcPr/>
          <w:p>
            <w:pPr>
              <w:pStyle w:val="Compact"/>
              <w:jc w:val="left"/>
            </w:pPr>
            <w:r>
              <w:t xml:space="preserve">685,100</w:t>
            </w:r>
          </w:p>
        </w:tc>
        <w:tc>
          <w:tcPr/>
          <w:p>
            <w:pPr>
              <w:pStyle w:val="Compact"/>
              <w:jc w:val="left"/>
            </w:pPr>
            <w:r>
              <w:t xml:space="preserve">571,200</w:t>
            </w:r>
          </w:p>
        </w:tc>
        <w:tc>
          <w:tcPr/>
          <w:p>
            <w:pPr>
              <w:pStyle w:val="Compact"/>
              <w:jc w:val="left"/>
            </w:pPr>
            <w:r>
              <w:t xml:space="preserve">+19.9%</w:t>
            </w:r>
          </w:p>
        </w:tc>
      </w:tr>
      <w:tr>
        <w:tc>
          <w:tcPr/>
          <w:p>
            <w:pPr>
              <w:pStyle w:val="Compact"/>
              <w:jc w:val="left"/>
            </w:pPr>
            <w:r>
              <w:t xml:space="preserve">Revenue (₹L)</w:t>
            </w:r>
          </w:p>
        </w:tc>
        <w:tc>
          <w:tcPr/>
          <w:p>
            <w:pPr>
              <w:pStyle w:val="Compact"/>
              <w:jc w:val="left"/>
            </w:pPr>
            <w:r>
              <w:t xml:space="preserve">68.5</w:t>
            </w:r>
          </w:p>
        </w:tc>
        <w:tc>
          <w:tcPr/>
          <w:p>
            <w:pPr>
              <w:pStyle w:val="Compact"/>
              <w:jc w:val="left"/>
            </w:pPr>
            <w:r>
              <w:t xml:space="preserve">82.3</w:t>
            </w:r>
          </w:p>
        </w:tc>
        <w:tc>
          <w:tcPr/>
          <w:p>
            <w:pPr>
              <w:pStyle w:val="Compact"/>
              <w:jc w:val="left"/>
            </w:pPr>
            <w:r>
              <w:t xml:space="preserve">91.8</w:t>
            </w:r>
          </w:p>
        </w:tc>
        <w:tc>
          <w:tcPr/>
          <w:p>
            <w:pPr>
              <w:pStyle w:val="Compact"/>
              <w:jc w:val="left"/>
            </w:pPr>
            <w:r>
              <w:t xml:space="preserve">112.4</w:t>
            </w:r>
          </w:p>
        </w:tc>
        <w:tc>
          <w:tcPr/>
          <w:p>
            <w:pPr>
              <w:pStyle w:val="Compact"/>
              <w:jc w:val="left"/>
            </w:pPr>
            <w:r>
              <w:t xml:space="preserve">355.0</w:t>
            </w:r>
          </w:p>
        </w:tc>
        <w:tc>
          <w:tcPr/>
          <w:p>
            <w:pPr>
              <w:pStyle w:val="Compact"/>
              <w:jc w:val="left"/>
            </w:pPr>
            <w:r>
              <w:t xml:space="preserve">285.0</w:t>
            </w:r>
          </w:p>
        </w:tc>
        <w:tc>
          <w:tcPr/>
          <w:p>
            <w:pPr>
              <w:pStyle w:val="Compact"/>
              <w:jc w:val="left"/>
            </w:pPr>
            <w:r>
              <w:t xml:space="preserve">+24.6%</w:t>
            </w:r>
          </w:p>
        </w:tc>
      </w:tr>
      <w:tr>
        <w:tc>
          <w:tcPr/>
          <w:p>
            <w:pPr>
              <w:pStyle w:val="Compact"/>
              <w:jc w:val="left"/>
            </w:pPr>
            <w:r>
              <w:t xml:space="preserve">Marketing Spend (₹L)</w:t>
            </w:r>
          </w:p>
        </w:tc>
        <w:tc>
          <w:tcPr/>
          <w:p>
            <w:pPr>
              <w:pStyle w:val="Compact"/>
              <w:jc w:val="left"/>
            </w:pPr>
            <w:r>
              <w:t xml:space="preserve">250</w:t>
            </w:r>
          </w:p>
        </w:tc>
        <w:tc>
          <w:tcPr/>
          <w:p>
            <w:pPr>
              <w:pStyle w:val="Compact"/>
              <w:jc w:val="left"/>
            </w:pPr>
            <w:r>
              <w:t xml:space="preserve">327</w:t>
            </w:r>
          </w:p>
        </w:tc>
        <w:tc>
          <w:tcPr/>
          <w:p>
            <w:pPr>
              <w:pStyle w:val="Compact"/>
              <w:jc w:val="left"/>
            </w:pPr>
            <w:r>
              <w:t xml:space="preserve">333</w:t>
            </w:r>
          </w:p>
        </w:tc>
        <w:tc>
          <w:tcPr/>
          <w:p>
            <w:pPr>
              <w:pStyle w:val="Compact"/>
              <w:jc w:val="left"/>
            </w:pPr>
            <w:r>
              <w:t xml:space="preserve">420</w:t>
            </w:r>
          </w:p>
        </w:tc>
        <w:tc>
          <w:tcPr/>
          <w:p>
            <w:pPr>
              <w:pStyle w:val="Compact"/>
              <w:jc w:val="left"/>
            </w:pPr>
            <w:r>
              <w:t xml:space="preserve">1,330</w:t>
            </w:r>
          </w:p>
        </w:tc>
        <w:tc>
          <w:tcPr/>
          <w:p>
            <w:pPr>
              <w:pStyle w:val="Compact"/>
              <w:jc w:val="left"/>
            </w:pPr>
            <w:r>
              <w:t xml:space="preserve">1,125</w:t>
            </w:r>
          </w:p>
        </w:tc>
        <w:tc>
          <w:tcPr/>
          <w:p>
            <w:pPr>
              <w:pStyle w:val="Compact"/>
              <w:jc w:val="left"/>
            </w:pPr>
            <w:r>
              <w:t xml:space="preserve">+18.2%</w:t>
            </w:r>
          </w:p>
        </w:tc>
      </w:tr>
      <w:tr>
        <w:tc>
          <w:tcPr/>
          <w:p>
            <w:pPr>
              <w:pStyle w:val="Compact"/>
              <w:jc w:val="left"/>
            </w:pPr>
            <w:r>
              <w:t xml:space="preserve">ROI</w:t>
            </w:r>
          </w:p>
        </w:tc>
        <w:tc>
          <w:tcPr/>
          <w:p>
            <w:pPr>
              <w:pStyle w:val="Compact"/>
              <w:jc w:val="left"/>
            </w:pPr>
            <w:r>
              <w:t xml:space="preserve">2.84x</w:t>
            </w:r>
          </w:p>
        </w:tc>
        <w:tc>
          <w:tcPr/>
          <w:p>
            <w:pPr>
              <w:pStyle w:val="Compact"/>
              <w:jc w:val="left"/>
            </w:pPr>
            <w:r>
              <w:t xml:space="preserve">2.72x</w:t>
            </w:r>
          </w:p>
        </w:tc>
        <w:tc>
          <w:tcPr/>
          <w:p>
            <w:pPr>
              <w:pStyle w:val="Compact"/>
              <w:jc w:val="left"/>
            </w:pPr>
            <w:r>
              <w:t xml:space="preserve">3.12x</w:t>
            </w:r>
          </w:p>
        </w:tc>
        <w:tc>
          <w:tcPr/>
          <w:p>
            <w:pPr>
              <w:pStyle w:val="Compact"/>
              <w:jc w:val="left"/>
            </w:pPr>
            <w:r>
              <w:t xml:space="preserve">3.87x</w:t>
            </w:r>
          </w:p>
        </w:tc>
        <w:tc>
          <w:tcPr/>
          <w:p>
            <w:pPr>
              <w:pStyle w:val="Compact"/>
              <w:jc w:val="left"/>
            </w:pPr>
            <w:r>
              <w:t xml:space="preserve">3.14x</w:t>
            </w:r>
          </w:p>
        </w:tc>
        <w:tc>
          <w:tcPr/>
          <w:p>
            <w:pPr>
              <w:pStyle w:val="Compact"/>
              <w:jc w:val="left"/>
            </w:pPr>
            <w:r>
              <w:t xml:space="preserve">2.53x</w:t>
            </w:r>
          </w:p>
        </w:tc>
        <w:tc>
          <w:tcPr/>
          <w:p>
            <w:pPr>
              <w:pStyle w:val="Compact"/>
              <w:jc w:val="left"/>
            </w:pPr>
            <w:r>
              <w:t xml:space="preserve">+24.1%</w:t>
            </w:r>
          </w:p>
        </w:tc>
      </w:tr>
      <w:tr>
        <w:tc>
          <w:tcPr/>
          <w:p>
            <w:pPr>
              <w:pStyle w:val="Compact"/>
              <w:jc w:val="left"/>
            </w:pPr>
            <w:r>
              <w:t xml:space="preserve">CAC (₹)</w:t>
            </w:r>
          </w:p>
        </w:tc>
        <w:tc>
          <w:tcPr/>
          <w:p>
            <w:pPr>
              <w:pStyle w:val="Compact"/>
              <w:jc w:val="left"/>
            </w:pPr>
            <w:r>
              <w:t xml:space="preserve">1,681</w:t>
            </w:r>
          </w:p>
        </w:tc>
        <w:tc>
          <w:tcPr/>
          <w:p>
            <w:pPr>
              <w:pStyle w:val="Compact"/>
              <w:jc w:val="left"/>
            </w:pPr>
            <w:r>
              <w:t xml:space="preserve">1,719</w:t>
            </w:r>
          </w:p>
        </w:tc>
        <w:tc>
          <w:tcPr/>
          <w:p>
            <w:pPr>
              <w:pStyle w:val="Compact"/>
              <w:jc w:val="left"/>
            </w:pPr>
            <w:r>
              <w:t xml:space="preserve">1,882</w:t>
            </w:r>
          </w:p>
        </w:tc>
        <w:tc>
          <w:tcPr/>
          <w:p>
            <w:pPr>
              <w:pStyle w:val="Compact"/>
              <w:jc w:val="left"/>
            </w:pPr>
            <w:r>
              <w:t xml:space="preserve">1,968</w:t>
            </w:r>
          </w:p>
        </w:tc>
        <w:tc>
          <w:tcPr/>
          <w:p>
            <w:pPr>
              <w:pStyle w:val="Compact"/>
              <w:jc w:val="left"/>
            </w:pPr>
            <w:r>
              <w:t xml:space="preserve">1,812</w:t>
            </w:r>
          </w:p>
        </w:tc>
        <w:tc>
          <w:tcPr/>
          <w:p>
            <w:pPr>
              <w:pStyle w:val="Compact"/>
              <w:jc w:val="left"/>
            </w:pPr>
            <w:r>
              <w:t xml:space="preserve">1,971</w:t>
            </w:r>
          </w:p>
        </w:tc>
        <w:tc>
          <w:tcPr/>
          <w:p>
            <w:pPr>
              <w:pStyle w:val="Compact"/>
              <w:jc w:val="left"/>
            </w:pPr>
            <w:r>
              <w:t xml:space="preserve">-8.1%</w:t>
            </w:r>
          </w:p>
        </w:tc>
      </w:tr>
      <w:tr>
        <w:tc>
          <w:tcPr/>
          <w:p>
            <w:pPr>
              <w:pStyle w:val="Compact"/>
              <w:jc w:val="left"/>
            </w:pPr>
            <w:r>
              <w:t xml:space="preserve">LTV:CAC Ratio</w:t>
            </w:r>
          </w:p>
        </w:tc>
        <w:tc>
          <w:tcPr/>
          <w:p>
            <w:pPr>
              <w:pStyle w:val="Compact"/>
              <w:jc w:val="left"/>
            </w:pPr>
            <w:r>
              <w:t xml:space="preserve">1:6.8</w:t>
            </w:r>
          </w:p>
        </w:tc>
        <w:tc>
          <w:tcPr/>
          <w:p>
            <w:pPr>
              <w:pStyle w:val="Compact"/>
              <w:jc w:val="left"/>
            </w:pPr>
            <w:r>
              <w:t xml:space="preserve">1:6.5</w:t>
            </w:r>
          </w:p>
        </w:tc>
        <w:tc>
          <w:tcPr/>
          <w:p>
            <w:pPr>
              <w:pStyle w:val="Compact"/>
              <w:jc w:val="left"/>
            </w:pPr>
            <w:r>
              <w:t xml:space="preserve">1:6.2</w:t>
            </w:r>
          </w:p>
        </w:tc>
        <w:tc>
          <w:tcPr/>
          <w:p>
            <w:pPr>
              <w:pStyle w:val="Compact"/>
              <w:jc w:val="left"/>
            </w:pPr>
            <w:r>
              <w:t xml:space="preserve">1:5.9</w:t>
            </w:r>
          </w:p>
        </w:tc>
        <w:tc>
          <w:tcPr/>
          <w:p>
            <w:pPr>
              <w:pStyle w:val="Compact"/>
              <w:jc w:val="left"/>
            </w:pPr>
            <w:r>
              <w:t xml:space="preserve">1:6.1</w:t>
            </w:r>
          </w:p>
        </w:tc>
        <w:tc>
          <w:tcPr/>
          <w:p>
            <w:pPr>
              <w:pStyle w:val="Compact"/>
              <w:jc w:val="left"/>
            </w:pPr>
            <w:r>
              <w:t xml:space="preserve">1:5.2</w:t>
            </w:r>
          </w:p>
        </w:tc>
        <w:tc>
          <w:tcPr/>
          <w:p>
            <w:pPr>
              <w:pStyle w:val="Compact"/>
              <w:jc w:val="left"/>
            </w:pPr>
            <w:r>
              <w:t xml:space="preserve">Improved</w:t>
            </w:r>
          </w:p>
        </w:tc>
      </w:tr>
    </w:tbl>
    <w:bookmarkEnd w:id="30"/>
    <w:bookmarkStart w:id="31" w:name="key-2024-achievements"/>
    <w:p>
      <w:pPr>
        <w:pStyle w:val="Heading3"/>
      </w:pPr>
      <w:r>
        <w:t xml:space="preserve">Key 2024 Achievements:</w:t>
      </w:r>
    </w:p>
    <w:p>
      <w:pPr>
        <w:pStyle w:val="Compact"/>
        <w:numPr>
          <w:ilvl w:val="0"/>
          <w:numId w:val="1001"/>
        </w:numPr>
      </w:pPr>
      <w:r>
        <w:rPr>
          <w:b/>
          <w:bCs/>
        </w:rPr>
        <w:t xml:space="preserve">Customer Acquisition:</w:t>
      </w:r>
      <w:r>
        <w:t xml:space="preserve"> </w:t>
      </w:r>
      <w:r>
        <w:t xml:space="preserve">685,100 customers (+19.9% YoY)</w:t>
      </w:r>
    </w:p>
    <w:p>
      <w:pPr>
        <w:pStyle w:val="Compact"/>
        <w:numPr>
          <w:ilvl w:val="0"/>
          <w:numId w:val="1001"/>
        </w:numPr>
      </w:pPr>
      <w:r>
        <w:rPr>
          <w:b/>
          <w:bCs/>
        </w:rPr>
        <w:t xml:space="preserve">Revenue:</w:t>
      </w:r>
      <w:r>
        <w:t xml:space="preserve"> </w:t>
      </w:r>
      <w:r>
        <w:t xml:space="preserve">₹355 Lakh (+24.6% YoY)</w:t>
      </w:r>
    </w:p>
    <w:p>
      <w:pPr>
        <w:pStyle w:val="Compact"/>
        <w:numPr>
          <w:ilvl w:val="0"/>
          <w:numId w:val="1001"/>
        </w:numPr>
      </w:pPr>
      <w:r>
        <w:rPr>
          <w:b/>
          <w:bCs/>
        </w:rPr>
        <w:t xml:space="preserve">Marketing Efficiency:</w:t>
      </w:r>
      <w:r>
        <w:t xml:space="preserve"> </w:t>
      </w:r>
      <w:r>
        <w:t xml:space="preserve">CAC improved 8.1% despite geographic expansion</w:t>
      </w:r>
    </w:p>
    <w:p>
      <w:pPr>
        <w:pStyle w:val="Compact"/>
        <w:numPr>
          <w:ilvl w:val="0"/>
          <w:numId w:val="1001"/>
        </w:numPr>
      </w:pPr>
      <w:r>
        <w:rPr>
          <w:b/>
          <w:bCs/>
        </w:rPr>
        <w:t xml:space="preserve">ROI Growth:</w:t>
      </w:r>
      <w:r>
        <w:t xml:space="preserve"> </w:t>
      </w:r>
      <w:r>
        <w:t xml:space="preserve">24.1% improvement in average quarterly ROI</w:t>
      </w:r>
    </w:p>
    <w:p>
      <w:pPr>
        <w:pStyle w:val="Compact"/>
        <w:numPr>
          <w:ilvl w:val="0"/>
          <w:numId w:val="1001"/>
        </w:numPr>
      </w:pPr>
      <w:r>
        <w:rPr>
          <w:b/>
          <w:bCs/>
        </w:rPr>
        <w:t xml:space="preserve">Geographic Expansion:</w:t>
      </w:r>
      <w:r>
        <w:t xml:space="preserve"> </w:t>
      </w:r>
      <w:r>
        <w:t xml:space="preserve">Entered 3 new regions (Latin America), expanded to 10 total markets</w:t>
      </w:r>
    </w:p>
    <w:p>
      <w:pPr>
        <w:pStyle w:val="Compact"/>
        <w:numPr>
          <w:ilvl w:val="0"/>
          <w:numId w:val="1001"/>
        </w:numPr>
      </w:pPr>
      <w:r>
        <w:rPr>
          <w:b/>
          <w:bCs/>
        </w:rPr>
        <w:t xml:space="preserve">Channel Performance:</w:t>
      </w:r>
      <w:r>
        <w:t xml:space="preserve"> </w:t>
      </w:r>
      <w:r>
        <w:t xml:space="preserve">Video content emerged as top ROI driver (4.21x average)</w:t>
      </w:r>
    </w:p>
    <w:p>
      <w:pPr>
        <w:pStyle w:val="Compact"/>
        <w:numPr>
          <w:ilvl w:val="0"/>
          <w:numId w:val="1001"/>
        </w:numPr>
      </w:pPr>
      <w:r>
        <w:rPr>
          <w:b/>
          <w:bCs/>
        </w:rPr>
        <w:t xml:space="preserve">Social Media:</w:t>
      </w:r>
      <w:r>
        <w:t xml:space="preserve"> </w:t>
      </w:r>
      <w:r>
        <w:t xml:space="preserve">Grew combined followers from 838,500 → 1.83M (+118%)</w:t>
      </w:r>
    </w:p>
    <w:p>
      <w:r>
        <w:pict>
          <v:rect style="width:0;height:1.5pt" o:hralign="center" o:hrstd="t" o:hr="t"/>
        </w:pict>
      </w:r>
    </w:p>
    <w:bookmarkEnd w:id="31"/>
    <w:bookmarkEnd w:id="32"/>
    <w:bookmarkStart w:id="33" w:name="ab-testing-results"/>
    <w:p>
      <w:pPr>
        <w:pStyle w:val="Heading2"/>
      </w:pPr>
      <w:r>
        <w:t xml:space="preserve">A/B Testing Results</w:t>
      </w:r>
    </w:p>
    <w:p>
      <w:pPr>
        <w:pStyle w:val="FirstParagraph"/>
      </w:pPr>
      <w:r>
        <w:rPr>
          <w:b/>
          <w:bCs/>
        </w:rPr>
        <w:t xml:space="preserve">Test 1: Black Friday Subject Line Urgency (Email)</w:t>
      </w:r>
      <w:r>
        <w:t xml:space="preserve"> </w:t>
      </w:r>
      <w:r>
        <w:t xml:space="preserve">- Variant A:</w:t>
      </w:r>
      <w:r>
        <w:t xml:space="preserve"> </w:t>
      </w:r>
      <w:r>
        <w:t xml:space="preserve">“</w:t>
      </w:r>
      <w:r>
        <w:t xml:space="preserve">Black Friday Sale - 25% Off</w:t>
      </w:r>
      <w:r>
        <w:t xml:space="preserve">”</w:t>
      </w:r>
      <w:r>
        <w:t xml:space="preserve"> </w:t>
      </w:r>
      <w:r>
        <w:t xml:space="preserve">- 28% open rate</w:t>
      </w:r>
      <w:r>
        <w:t xml:space="preserve"> </w:t>
      </w:r>
      <w:r>
        <w:t xml:space="preserve">- Variant B:</w:t>
      </w:r>
      <w:r>
        <w:t xml:space="preserve"> </w:t>
      </w:r>
      <w:r>
        <w:t xml:space="preserve">“</w:t>
      </w:r>
      <w:r>
        <w:t xml:space="preserve">⏰ ENDS TONIGHT: 25% Off Everything</w:t>
      </w:r>
      <w:r>
        <w:t xml:space="preserve">”</w:t>
      </w:r>
      <w:r>
        <w:t xml:space="preserve"> </w:t>
      </w:r>
      <w:r>
        <w:t xml:space="preserve">- 38% open rate</w:t>
      </w:r>
      <w:r>
        <w:t xml:space="preserve"> </w:t>
      </w:r>
      <w:r>
        <w:t xml:space="preserve">- Winner: Variant B (36% improvement)</w:t>
      </w:r>
      <w:r>
        <w:t xml:space="preserve"> </w:t>
      </w:r>
      <w:r>
        <w:t xml:space="preserve">- Recommendation: Urgency markers (⏰, emoji) and scarcity messaging drive 30%+ improvement</w:t>
      </w:r>
    </w:p>
    <w:p>
      <w:pPr>
        <w:pStyle w:val="BodyText"/>
      </w:pPr>
      <w:r>
        <w:rPr>
          <w:b/>
          <w:bCs/>
        </w:rPr>
        <w:t xml:space="preserve">Test 2: Enterprise Webinar Format (B2B)</w:t>
      </w:r>
      <w:r>
        <w:t xml:space="preserve"> </w:t>
      </w:r>
      <w:r>
        <w:t xml:space="preserve">- Variant A: 30-minute CEO presentation - 15% attendance rate</w:t>
      </w:r>
      <w:r>
        <w:t xml:space="preserve"> </w:t>
      </w:r>
      <w:r>
        <w:t xml:space="preserve">- Variant B: 45-minute roundtable with 3 CXOs + Q&amp;A - 31% attendance rate</w:t>
      </w:r>
      <w:r>
        <w:t xml:space="preserve"> </w:t>
      </w:r>
      <w:r>
        <w:t xml:space="preserve">- Winner: Variant B (107% improvement)</w:t>
      </w:r>
      <w:r>
        <w:t xml:space="preserve"> </w:t>
      </w:r>
      <w:r>
        <w:t xml:space="preserve">- Recommendation: Peer-to-peer formats 2x more effective than executive monologues</w:t>
      </w:r>
    </w:p>
    <w:p>
      <w:pPr>
        <w:pStyle w:val="BodyText"/>
      </w:pPr>
      <w:r>
        <w:rPr>
          <w:b/>
          <w:bCs/>
        </w:rPr>
        <w:t xml:space="preserve">Test 3: Video Length Optimization (Holiday Campaign)</w:t>
      </w:r>
      <w:r>
        <w:t xml:space="preserve"> </w:t>
      </w:r>
      <w:r>
        <w:t xml:space="preserve">- Variant A: 15-second video - 2.1% CTR</w:t>
      </w:r>
      <w:r>
        <w:t xml:space="preserve"> </w:t>
      </w:r>
      <w:r>
        <w:t xml:space="preserve">- Variant B: 60-second storytelling video - 3.8% CTR</w:t>
      </w:r>
      <w:r>
        <w:t xml:space="preserve"> </w:t>
      </w:r>
      <w:r>
        <w:t xml:space="preserve">- Variant C: 3-minute long-form educational - 4.2% CTR</w:t>
      </w:r>
      <w:r>
        <w:t xml:space="preserve"> </w:t>
      </w:r>
      <w:r>
        <w:t xml:space="preserve">- Winner: Variant C (100% improvement vs. A)</w:t>
      </w:r>
      <w:r>
        <w:t xml:space="preserve"> </w:t>
      </w:r>
      <w:r>
        <w:t xml:space="preserve">- Recommendation: Holiday content benefits from emotional storytelling; longer format effective</w:t>
      </w:r>
    </w:p>
    <w:p>
      <w:pPr>
        <w:pStyle w:val="BodyText"/>
      </w:pPr>
      <w:r>
        <w:rPr>
          <w:b/>
          <w:bCs/>
        </w:rPr>
        <w:t xml:space="preserve">Test 4: Mobile App Push Notification Timing</w:t>
      </w:r>
      <w:r>
        <w:t xml:space="preserve"> </w:t>
      </w:r>
      <w:r>
        <w:t xml:space="preserve">- Variant A: 10am delivery - 3.2% engagement rate</w:t>
      </w:r>
      <w:r>
        <w:t xml:space="preserve"> </w:t>
      </w:r>
      <w:r>
        <w:t xml:space="preserve">- Variant B: 7pm delivery (evening) - 5.8% engagement rate</w:t>
      </w:r>
      <w:r>
        <w:t xml:space="preserve"> </w:t>
      </w:r>
      <w:r>
        <w:t xml:space="preserve">- Winner: Variant B (81% improvement)</w:t>
      </w:r>
      <w:r>
        <w:t xml:space="preserve"> </w:t>
      </w:r>
      <w:r>
        <w:t xml:space="preserve">- Recommendation: Evening delivery significantly outperforms morning for consumer fintech</w:t>
      </w:r>
    </w:p>
    <w:p>
      <w:r>
        <w:pict>
          <v:rect style="width:0;height:1.5pt" o:hralign="center" o:hrstd="t" o:hr="t"/>
        </w:pict>
      </w:r>
    </w:p>
    <w:bookmarkEnd w:id="33"/>
    <w:bookmarkStart w:id="36" w:name="recommendations-for-2025"/>
    <w:p>
      <w:pPr>
        <w:pStyle w:val="Heading2"/>
      </w:pPr>
      <w:r>
        <w:t xml:space="preserve">Recommendations for 2025</w:t>
      </w:r>
    </w:p>
    <w:bookmarkStart w:id="34" w:name="strategic-priorities"/>
    <w:p>
      <w:pPr>
        <w:pStyle w:val="Heading3"/>
      </w:pPr>
      <w:r>
        <w:t xml:space="preserve">Strategic Priorities:</w:t>
      </w:r>
    </w:p>
    <w:p>
      <w:pPr>
        <w:numPr>
          <w:ilvl w:val="0"/>
          <w:numId w:val="1002"/>
        </w:numPr>
      </w:pPr>
      <w:r>
        <w:rPr>
          <w:b/>
          <w:bCs/>
        </w:rPr>
        <w:t xml:space="preserve">Scale B2B Enterprise Segment:</w:t>
      </w:r>
      <w:r>
        <w:t xml:space="preserve"> </w:t>
      </w:r>
      <w:r>
        <w:t xml:space="preserve">Q4 results demonstrate strong enterprise PMF. Increase B2B budget to ₹200+ Lakh annually (from ₹100L in 2024). Hire dedicated enterprise marketing team.</w:t>
      </w:r>
    </w:p>
    <w:p>
      <w:pPr>
        <w:numPr>
          <w:ilvl w:val="0"/>
          <w:numId w:val="1002"/>
        </w:numPr>
      </w:pPr>
      <w:r>
        <w:rPr>
          <w:b/>
          <w:bCs/>
        </w:rPr>
        <w:t xml:space="preserve">Maximize Video Content ROI:</w:t>
      </w:r>
      <w:r>
        <w:t xml:space="preserve"> </w:t>
      </w:r>
      <w:r>
        <w:t xml:space="preserve">Video channels delivered 4.21x average ROAS. Allocate ₹180 Lakh for video production (in-house team + creator partnerships). Target TikTok/YouTube shorts for viral growth.</w:t>
      </w:r>
    </w:p>
    <w:p>
      <w:pPr>
        <w:numPr>
          <w:ilvl w:val="0"/>
          <w:numId w:val="1002"/>
        </w:numPr>
      </w:pPr>
      <w:r>
        <w:rPr>
          <w:b/>
          <w:bCs/>
        </w:rPr>
        <w:t xml:space="preserve">Geographic Expansion - Southeast Asia:</w:t>
      </w:r>
      <w:r>
        <w:t xml:space="preserve"> </w:t>
      </w:r>
      <w:r>
        <w:t xml:space="preserve">Thailand/Vietnam underperforming; need ₹25-30 Lakh annual budget. Hire Bangkok regional director Q1 2025.</w:t>
      </w:r>
    </w:p>
    <w:p>
      <w:pPr>
        <w:numPr>
          <w:ilvl w:val="0"/>
          <w:numId w:val="1002"/>
        </w:numPr>
      </w:pPr>
      <w:r>
        <w:rPr>
          <w:b/>
          <w:bCs/>
        </w:rPr>
        <w:t xml:space="preserve">Latin America Acceleration:</w:t>
      </w:r>
      <w:r>
        <w:t xml:space="preserve"> </w:t>
      </w:r>
      <w:r>
        <w:t xml:space="preserve">LATAM showing strong trajectory (2024: 50.8K customers, ₹80L revenue). Increase 2025 budget to ₹150 Lakh. Expand to Colombia, Chile, Peru.</w:t>
      </w:r>
    </w:p>
    <w:p>
      <w:pPr>
        <w:numPr>
          <w:ilvl w:val="0"/>
          <w:numId w:val="1002"/>
        </w:numPr>
      </w:pPr>
      <w:r>
        <w:rPr>
          <w:b/>
          <w:bCs/>
        </w:rPr>
        <w:t xml:space="preserve">Loyalty Program Enhancement:</w:t>
      </w:r>
      <w:r>
        <w:t xml:space="preserve"> </w:t>
      </w:r>
      <w:r>
        <w:t xml:space="preserve">Loyalty now 35.7% of new acquisitions; reduce churn by 3.8pp. Increase retention marketing to ₹120 Lakh annually. Implement AI personalization for targeted offers.</w:t>
      </w:r>
    </w:p>
    <w:p>
      <w:pPr>
        <w:numPr>
          <w:ilvl w:val="0"/>
          <w:numId w:val="1002"/>
        </w:numPr>
      </w:pPr>
      <w:r>
        <w:rPr>
          <w:b/>
          <w:bCs/>
        </w:rPr>
        <w:t xml:space="preserve">Kill Low-ROI Channels:</w:t>
      </w:r>
      <w:r>
        <w:t xml:space="preserve"> </w:t>
      </w:r>
      <w:r>
        <w:t xml:space="preserve">Event sponsorships (0.73x ROI) and local partnerships (1.34x ROI) consistently underperform. Reallocate ₹90 Lakh to high-ROI digital channels.</w:t>
      </w:r>
    </w:p>
    <w:p>
      <w:pPr>
        <w:numPr>
          <w:ilvl w:val="0"/>
          <w:numId w:val="1002"/>
        </w:numPr>
      </w:pPr>
      <w:r>
        <w:rPr>
          <w:b/>
          <w:bCs/>
        </w:rPr>
        <w:t xml:space="preserve">Marketing Automation &amp; AI:</w:t>
      </w:r>
      <w:r>
        <w:t xml:space="preserve"> </w:t>
      </w:r>
      <w:r>
        <w:t xml:space="preserve">Invest ₹15 Lakh in marketing automation platform (HubSpot upgrade) and ₹20 Lakh for AI-driven personalization engine.</w:t>
      </w:r>
    </w:p>
    <w:bookmarkEnd w:id="34"/>
    <w:bookmarkStart w:id="35" w:name="Xc975257e1f78534290c11c7b3bf1e4917b9d213"/>
    <w:p>
      <w:pPr>
        <w:pStyle w:val="Heading3"/>
      </w:pPr>
      <w:r>
        <w:t xml:space="preserve">2025 Budget Allocation (₹450 Crore marketing budget proposed):</w:t>
      </w:r>
    </w:p>
    <w:p>
      <w:pPr>
        <w:pStyle w:val="Compact"/>
        <w:numPr>
          <w:ilvl w:val="0"/>
          <w:numId w:val="1003"/>
        </w:numPr>
      </w:pPr>
      <w:r>
        <w:t xml:space="preserve">Digital Advertising: ₹200 Lakh (44%)</w:t>
      </w:r>
    </w:p>
    <w:p>
      <w:pPr>
        <w:pStyle w:val="Compact"/>
        <w:numPr>
          <w:ilvl w:val="0"/>
          <w:numId w:val="1003"/>
        </w:numPr>
      </w:pPr>
      <w:r>
        <w:t xml:space="preserve">Video Content Production: ₹180 Lakh (40%)</w:t>
      </w:r>
    </w:p>
    <w:p>
      <w:pPr>
        <w:pStyle w:val="Compact"/>
        <w:numPr>
          <w:ilvl w:val="0"/>
          <w:numId w:val="1003"/>
        </w:numPr>
      </w:pPr>
      <w:r>
        <w:t xml:space="preserve">B2B Enterprise Marketing: ₹200 Lakh (44%)</w:t>
      </w:r>
    </w:p>
    <w:p>
      <w:pPr>
        <w:pStyle w:val="Compact"/>
        <w:numPr>
          <w:ilvl w:val="0"/>
          <w:numId w:val="1003"/>
        </w:numPr>
      </w:pPr>
      <w:r>
        <w:t xml:space="preserve">Email &amp; Retention: ₹120 Lakh (27%)</w:t>
      </w:r>
    </w:p>
    <w:p>
      <w:pPr>
        <w:pStyle w:val="Compact"/>
        <w:numPr>
          <w:ilvl w:val="0"/>
          <w:numId w:val="1003"/>
        </w:numPr>
      </w:pPr>
      <w:r>
        <w:t xml:space="preserve">Influencer Partnerships: ₹80 Lakh (18%)</w:t>
      </w:r>
    </w:p>
    <w:p>
      <w:pPr>
        <w:pStyle w:val="Compact"/>
        <w:numPr>
          <w:ilvl w:val="0"/>
          <w:numId w:val="1003"/>
        </w:numPr>
      </w:pPr>
      <w:r>
        <w:t xml:space="preserve">Content &amp; SEO: ₹60 Lakh (13%)</w:t>
      </w:r>
    </w:p>
    <w:p>
      <w:pPr>
        <w:pStyle w:val="Compact"/>
        <w:numPr>
          <w:ilvl w:val="0"/>
          <w:numId w:val="1003"/>
        </w:numPr>
      </w:pPr>
      <w:r>
        <w:t xml:space="preserve">Analytics &amp; Tools: ₹30 Lakh (7%)</w:t>
      </w:r>
    </w:p>
    <w:p>
      <w:pPr>
        <w:pStyle w:val="Compact"/>
        <w:numPr>
          <w:ilvl w:val="0"/>
          <w:numId w:val="1003"/>
        </w:numPr>
      </w:pPr>
      <w:r>
        <w:t xml:space="preserve">Events &amp; Sponsorships: ₹20 Lakh (4%) [reduced from ₹52L]</w:t>
      </w:r>
    </w:p>
    <w:p>
      <w:r>
        <w:pict>
          <v:rect style="width:0;height:1.5pt" o:hralign="center" o:hrstd="t" o:hr="t"/>
        </w:pict>
      </w:r>
    </w:p>
    <w:bookmarkEnd w:id="35"/>
    <w:bookmarkEnd w:id="36"/>
    <w:bookmarkStart w:id="37" w:name="vs.-2023-competitor-analysis"/>
    <w:p>
      <w:pPr>
        <w:pStyle w:val="Heading2"/>
      </w:pPr>
      <w:r>
        <w:t xml:space="preserve">2024 vs. 2023 Competitor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Competitor</w:t>
            </w:r>
          </w:p>
        </w:tc>
        <w:tc>
          <w:tcPr/>
          <w:p>
            <w:pPr>
              <w:pStyle w:val="Compact"/>
              <w:jc w:val="left"/>
            </w:pPr>
            <w:r>
              <w:t xml:space="preserve">Est. Market Share 2024</w:t>
            </w:r>
          </w:p>
        </w:tc>
        <w:tc>
          <w:tcPr/>
          <w:p>
            <w:pPr>
              <w:pStyle w:val="Compact"/>
              <w:jc w:val="left"/>
            </w:pPr>
            <w:r>
              <w:t xml:space="preserve">Est. Market Share 2023</w:t>
            </w:r>
          </w:p>
        </w:tc>
        <w:tc>
          <w:tcPr/>
          <w:p>
            <w:pPr>
              <w:pStyle w:val="Compact"/>
              <w:jc w:val="left"/>
            </w:pPr>
            <w:r>
              <w:t xml:space="preserve">Customer Acquisition Rate</w:t>
            </w:r>
          </w:p>
        </w:tc>
        <w:tc>
          <w:tcPr/>
          <w:p>
            <w:pPr>
              <w:pStyle w:val="Compact"/>
              <w:jc w:val="left"/>
            </w:pPr>
            <w:r>
              <w:t xml:space="preserve">Est. Annual Spend</w:t>
            </w:r>
          </w:p>
        </w:tc>
        <w:tc>
          <w:tcPr/>
          <w:p>
            <w:pPr>
              <w:pStyle w:val="Compact"/>
              <w:jc w:val="left"/>
            </w:pPr>
            <w:r>
              <w:t xml:space="preserve">Positioning</w:t>
            </w:r>
          </w:p>
        </w:tc>
      </w:tr>
      <w:tr>
        <w:tc>
          <w:tcPr/>
          <w:p>
            <w:pPr>
              <w:pStyle w:val="Compact"/>
              <w:jc w:val="left"/>
            </w:pPr>
            <w:r>
              <w:t xml:space="preserve">FinSolve Technologies</w:t>
            </w:r>
          </w:p>
        </w:tc>
        <w:tc>
          <w:tcPr/>
          <w:p>
            <w:pPr>
              <w:pStyle w:val="Compact"/>
              <w:jc w:val="left"/>
            </w:pPr>
            <w:r>
              <w:t xml:space="preserve">12.4%</w:t>
            </w:r>
          </w:p>
        </w:tc>
        <w:tc>
          <w:tcPr/>
          <w:p>
            <w:pPr>
              <w:pStyle w:val="Compact"/>
              <w:jc w:val="left"/>
            </w:pPr>
            <w:r>
              <w:t xml:space="preserve">9.8%</w:t>
            </w:r>
          </w:p>
        </w:tc>
        <w:tc>
          <w:tcPr/>
          <w:p>
            <w:pPr>
              <w:pStyle w:val="Compact"/>
              <w:jc w:val="left"/>
            </w:pPr>
            <w:r>
              <w:t xml:space="preserve">685,100</w:t>
            </w:r>
          </w:p>
        </w:tc>
        <w:tc>
          <w:tcPr/>
          <w:p>
            <w:pPr>
              <w:pStyle w:val="Compact"/>
              <w:jc w:val="left"/>
            </w:pPr>
            <w:r>
              <w:t xml:space="preserve">₹1,330L</w:t>
            </w:r>
          </w:p>
        </w:tc>
        <w:tc>
          <w:tcPr/>
          <w:p>
            <w:pPr>
              <w:pStyle w:val="Compact"/>
              <w:jc w:val="left"/>
            </w:pPr>
            <w:r>
              <w:t xml:space="preserve">Omnichannel growth leader</w:t>
            </w:r>
          </w:p>
        </w:tc>
      </w:tr>
      <w:tr>
        <w:tc>
          <w:tcPr/>
          <w:p>
            <w:pPr>
              <w:pStyle w:val="Compact"/>
              <w:jc w:val="left"/>
            </w:pPr>
            <w:r>
              <w:t xml:space="preserve">PaymentPro India</w:t>
            </w:r>
          </w:p>
        </w:tc>
        <w:tc>
          <w:tcPr/>
          <w:p>
            <w:pPr>
              <w:pStyle w:val="Compact"/>
              <w:jc w:val="left"/>
            </w:pPr>
            <w:r>
              <w:t xml:space="preserve">14.1%</w:t>
            </w:r>
          </w:p>
        </w:tc>
        <w:tc>
          <w:tcPr/>
          <w:p>
            <w:pPr>
              <w:pStyle w:val="Compact"/>
              <w:jc w:val="left"/>
            </w:pPr>
            <w:r>
              <w:t xml:space="preserve">15.2%</w:t>
            </w:r>
          </w:p>
        </w:tc>
        <w:tc>
          <w:tcPr/>
          <w:p>
            <w:pPr>
              <w:pStyle w:val="Compact"/>
              <w:jc w:val="left"/>
            </w:pPr>
            <w:r>
              <w:t xml:space="preserve">625,000</w:t>
            </w:r>
          </w:p>
        </w:tc>
        <w:tc>
          <w:tcPr/>
          <w:p>
            <w:pPr>
              <w:pStyle w:val="Compact"/>
              <w:jc w:val="left"/>
            </w:pPr>
            <w:r>
              <w:t xml:space="preserve">₹1,240L</w:t>
            </w:r>
          </w:p>
        </w:tc>
        <w:tc>
          <w:tcPr/>
          <w:p>
            <w:pPr>
              <w:pStyle w:val="Compact"/>
              <w:jc w:val="left"/>
            </w:pPr>
            <w:r>
              <w:t xml:space="preserve">Enterprise-focused</w:t>
            </w:r>
          </w:p>
        </w:tc>
      </w:tr>
      <w:tr>
        <w:tc>
          <w:tcPr/>
          <w:p>
            <w:pPr>
              <w:pStyle w:val="Compact"/>
              <w:jc w:val="left"/>
            </w:pPr>
            <w:r>
              <w:t xml:space="preserve">FinTech Global</w:t>
            </w:r>
          </w:p>
        </w:tc>
        <w:tc>
          <w:tcPr/>
          <w:p>
            <w:pPr>
              <w:pStyle w:val="Compact"/>
              <w:jc w:val="left"/>
            </w:pPr>
            <w:r>
              <w:t xml:space="preserve">8.9%</w:t>
            </w:r>
          </w:p>
        </w:tc>
        <w:tc>
          <w:tcPr/>
          <w:p>
            <w:pPr>
              <w:pStyle w:val="Compact"/>
              <w:jc w:val="left"/>
            </w:pPr>
            <w:r>
              <w:t xml:space="preserve">9.1%</w:t>
            </w:r>
          </w:p>
        </w:tc>
        <w:tc>
          <w:tcPr/>
          <w:p>
            <w:pPr>
              <w:pStyle w:val="Compact"/>
              <w:jc w:val="left"/>
            </w:pPr>
            <w:r>
              <w:t xml:space="preserve">485,000</w:t>
            </w:r>
          </w:p>
        </w:tc>
        <w:tc>
          <w:tcPr/>
          <w:p>
            <w:pPr>
              <w:pStyle w:val="Compact"/>
              <w:jc w:val="left"/>
            </w:pPr>
            <w:r>
              <w:t xml:space="preserve">₹980L</w:t>
            </w:r>
          </w:p>
        </w:tc>
        <w:tc>
          <w:tcPr/>
          <w:p>
            <w:pPr>
              <w:pStyle w:val="Compact"/>
              <w:jc w:val="left"/>
            </w:pPr>
            <w:r>
              <w:t xml:space="preserve">Asian expansion</w:t>
            </w:r>
          </w:p>
        </w:tc>
      </w:tr>
      <w:tr>
        <w:tc>
          <w:tcPr/>
          <w:p>
            <w:pPr>
              <w:pStyle w:val="Compact"/>
              <w:jc w:val="left"/>
            </w:pPr>
            <w:r>
              <w:t xml:space="preserve">RapidPay Solutions</w:t>
            </w:r>
          </w:p>
        </w:tc>
        <w:tc>
          <w:tcPr/>
          <w:p>
            <w:pPr>
              <w:pStyle w:val="Compact"/>
              <w:jc w:val="left"/>
            </w:pPr>
            <w:r>
              <w:t xml:space="preserve">7.2%</w:t>
            </w:r>
          </w:p>
        </w:tc>
        <w:tc>
          <w:tcPr/>
          <w:p>
            <w:pPr>
              <w:pStyle w:val="Compact"/>
              <w:jc w:val="left"/>
            </w:pPr>
            <w:r>
              <w:t xml:space="preserve">8.5%</w:t>
            </w:r>
          </w:p>
        </w:tc>
        <w:tc>
          <w:tcPr/>
          <w:p>
            <w:pPr>
              <w:pStyle w:val="Compact"/>
              <w:jc w:val="left"/>
            </w:pPr>
            <w:r>
              <w:t xml:space="preserve">398,000</w:t>
            </w:r>
          </w:p>
        </w:tc>
        <w:tc>
          <w:tcPr/>
          <w:p>
            <w:pPr>
              <w:pStyle w:val="Compact"/>
              <w:jc w:val="left"/>
            </w:pPr>
            <w:r>
              <w:t xml:space="preserve">₹850L</w:t>
            </w:r>
          </w:p>
        </w:tc>
        <w:tc>
          <w:tcPr/>
          <w:p>
            <w:pPr>
              <w:pStyle w:val="Compact"/>
              <w:jc w:val="left"/>
            </w:pPr>
            <w:r>
              <w:t xml:space="preserve">SMB segment leader</w:t>
            </w:r>
          </w:p>
        </w:tc>
      </w:tr>
    </w:tbl>
    <w:p>
      <w:pPr>
        <w:pStyle w:val="BodyText"/>
      </w:pPr>
      <w:r>
        <w:rPr>
          <w:b/>
          <w:bCs/>
        </w:rPr>
        <w:t xml:space="preserve">FinSolve Position:</w:t>
      </w:r>
      <w:r>
        <w:t xml:space="preserve"> </w:t>
      </w:r>
      <w:r>
        <w:t xml:space="preserve">#1 in customer acquisition rate, #2 in market share, strongest geographic diversification (10 markets vs. competitors’ 5-7), highest ROI trajectory (+24.1% YoY).</w:t>
      </w:r>
    </w:p>
    <w:p>
      <w:r>
        <w:pict>
          <v:rect style="width:0;height:1.5pt" o:hralign="center" o:hrstd="t" o:hr="t"/>
        </w:pict>
      </w:r>
    </w:p>
    <w:bookmarkEnd w:id="37"/>
    <w:bookmarkStart w:id="38" w:name="data-quality-notes"/>
    <w:p>
      <w:pPr>
        <w:pStyle w:val="Heading2"/>
      </w:pPr>
      <w:r>
        <w:t xml:space="preserve">Data Quality Notes</w:t>
      </w:r>
    </w:p>
    <w:p>
      <w:pPr>
        <w:pStyle w:val="Compact"/>
        <w:numPr>
          <w:ilvl w:val="0"/>
          <w:numId w:val="1004"/>
        </w:numPr>
      </w:pPr>
      <w:r>
        <w:t xml:space="preserve">All metrics verified against Google Analytics, HubSpot CRM, Salesforce, and proprietary reward platform</w:t>
      </w:r>
    </w:p>
    <w:p>
      <w:pPr>
        <w:pStyle w:val="Compact"/>
        <w:numPr>
          <w:ilvl w:val="0"/>
          <w:numId w:val="1004"/>
        </w:numPr>
      </w:pPr>
      <w:r>
        <w:t xml:space="preserve">Revenue figures represent marketing-attributed revenue (multi-touch attribution model with 40% first-touch, 30% last-click, 30% distributed)</w:t>
      </w:r>
    </w:p>
    <w:p>
      <w:pPr>
        <w:pStyle w:val="Compact"/>
        <w:numPr>
          <w:ilvl w:val="0"/>
          <w:numId w:val="1004"/>
        </w:numPr>
      </w:pPr>
      <w:r>
        <w:t xml:space="preserve">Customer acquisition based on unique user IDs across CRM system</w:t>
      </w:r>
    </w:p>
    <w:p>
      <w:pPr>
        <w:pStyle w:val="Compact"/>
        <w:numPr>
          <w:ilvl w:val="0"/>
          <w:numId w:val="1004"/>
        </w:numPr>
      </w:pPr>
      <w:r>
        <w:t xml:space="preserve">Geographic data sourced from IP geolocation + user-declared location in profile</w:t>
      </w:r>
    </w:p>
    <w:p>
      <w:pPr>
        <w:pStyle w:val="Compact"/>
        <w:numPr>
          <w:ilvl w:val="0"/>
          <w:numId w:val="1004"/>
        </w:numPr>
      </w:pPr>
      <w:r>
        <w:t xml:space="preserve">Social media metrics pulled from platform-native analytics (LinkedIn Campaign Manager, Meta Business Suite, TikTok Creator Suite, YouTube Analytics)</w:t>
      </w:r>
    </w:p>
    <w:p>
      <w:pPr>
        <w:pStyle w:val="Compact"/>
        <w:numPr>
          <w:ilvl w:val="0"/>
          <w:numId w:val="1004"/>
        </w:numPr>
      </w:pPr>
      <w:r>
        <w:t xml:space="preserve">B2B conversion rate calculated separately using Salesforce pipeline data</w:t>
      </w:r>
    </w:p>
    <w:p>
      <w:pPr>
        <w:pStyle w:val="Compact"/>
        <w:numPr>
          <w:ilvl w:val="0"/>
          <w:numId w:val="1004"/>
        </w:numPr>
      </w:pPr>
      <w:r>
        <w:t xml:space="preserve">ROI calculated as (Revenue - Marketing Spend) / Marketing Spend</w:t>
      </w:r>
    </w:p>
    <w:p>
      <w:pPr>
        <w:pStyle w:val="Compact"/>
        <w:numPr>
          <w:ilvl w:val="0"/>
          <w:numId w:val="1004"/>
        </w:numPr>
      </w:pPr>
      <w:r>
        <w:t xml:space="preserve">CAC calculated as Total Marketing Spend / New Customers Acquired</w:t>
      </w:r>
    </w:p>
    <w:p>
      <w:pPr>
        <w:pStyle w:val="Compact"/>
        <w:numPr>
          <w:ilvl w:val="0"/>
          <w:numId w:val="1004"/>
        </w:numPr>
      </w:pPr>
      <w:r>
        <w:t xml:space="preserve">All INR figures represent average 2024 FX rates</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Q4 2024 delivered exceptional results, capping a transformational year for FinSolve Technologies marketing. The quarter achieved the highest quarterly ROI (3.87x) and customer acquisition (198,200), driven by holiday season campaigns, B2B enterprise success, and strategic geographic expansion. Full-year 2024 metrics demonstrate sustained growth trajectory: 685,100 new customers (+19.9% YoY), ₹355 Lakh revenue (+24.6% YoY), and improved marketing efficiency (CAC -8.1% despite expansion).</w:t>
      </w:r>
    </w:p>
    <w:p>
      <w:pPr>
        <w:pStyle w:val="BodyText"/>
      </w:pPr>
      <w:r>
        <w:rPr>
          <w:b/>
          <w:bCs/>
        </w:rPr>
        <w:t xml:space="preserve">2024 Performance Highlights:</w:t>
      </w:r>
      <w:r>
        <w:t xml:space="preserve"> </w:t>
      </w:r>
      <w:r>
        <w:t xml:space="preserve">- Successful European market entry and stabilization (Q1: launch, Q2-Q4: scaling)</w:t>
      </w:r>
      <w:r>
        <w:t xml:space="preserve"> </w:t>
      </w:r>
      <w:r>
        <w:t xml:space="preserve">- Southeast Asia expansion achieved 96,400 customers across Singapore, Malaysia, Thailand</w:t>
      </w:r>
      <w:r>
        <w:t xml:space="preserve"> </w:t>
      </w:r>
      <w:r>
        <w:t xml:space="preserve">- Latin America greenfield entry delivered 50,800 customers in 12 weeks (Q3-Q4)</w:t>
      </w:r>
      <w:r>
        <w:t xml:space="preserve"> </w:t>
      </w:r>
      <w:r>
        <w:t xml:space="preserve">- B2B enterprise segment emerging as high-value channel (₹87.2L revenue, 32 enterprise customers closed)</w:t>
      </w:r>
      <w:r>
        <w:t xml:space="preserve"> </w:t>
      </w:r>
      <w:r>
        <w:t xml:space="preserve">- Video content platform emerged as highest-ROI channel (4.21x average across YouTube, TikTok, Reels)</w:t>
      </w:r>
      <w:r>
        <w:t xml:space="preserve"> </w:t>
      </w:r>
      <w:r>
        <w:t xml:space="preserve">- Social media audience grew 118% (838.5K → 1.83M followers)</w:t>
      </w:r>
      <w:r>
        <w:t xml:space="preserve"> </w:t>
      </w:r>
      <w:r>
        <w:t xml:space="preserve">- Loyalty program integrated into core customer onboarding (35.7% new customer adoption)</w:t>
      </w:r>
    </w:p>
    <w:p>
      <w:pPr>
        <w:pStyle w:val="BodyText"/>
      </w:pPr>
      <w:r>
        <w:rPr>
          <w:b/>
          <w:bCs/>
        </w:rPr>
        <w:t xml:space="preserve">Key Learning:</w:t>
      </w:r>
      <w:r>
        <w:t xml:space="preserve"> </w:t>
      </w:r>
      <w:r>
        <w:t xml:space="preserve">Market-specific strategies outperform global campaigns by 40-80% in emerging markets. Localization, cultural adaptation, and regional teams essential for geographic expansion success.</w:t>
      </w:r>
    </w:p>
    <w:p>
      <w:pPr>
        <w:pStyle w:val="BodyText"/>
      </w:pPr>
      <w:r>
        <w:rPr>
          <w:b/>
          <w:bCs/>
        </w:rPr>
        <w:t xml:space="preserve">2025 Outlook:</w:t>
      </w:r>
      <w:r>
        <w:t xml:space="preserve"> </w:t>
      </w:r>
      <w:r>
        <w:t xml:space="preserve">With proposed ₹450 Crore budget, FinSolve Technologies positioned to achieve 850K+ customer acquisitions and ₹420+ Lakh revenue, maintaining 20%+ YoY growth trajectory while improving marketing efficiency further.</w:t>
      </w:r>
    </w:p>
    <w:p>
      <w:pPr>
        <w:pStyle w:val="BodyText"/>
      </w:pPr>
      <w:r>
        <w:rPr>
          <w:b/>
          <w:bCs/>
        </w:rPr>
        <w:t xml:space="preserve">Q4 Performance Grade: A+</w:t>
      </w:r>
      <w:r>
        <w:t xml:space="preserve"> </w:t>
      </w:r>
      <w:r>
        <w:rPr>
          <w:b/>
          <w:bCs/>
        </w:rPr>
        <w:t xml:space="preserve">2024 Annual Performance Grade: A</w:t>
      </w:r>
    </w:p>
    <w:p>
      <w:pPr>
        <w:pStyle w:val="BodyText"/>
      </w:pPr>
      <w:r>
        <w:rPr>
          <w:i/>
          <w:iCs/>
        </w:rPr>
        <w:t xml:space="preserve">Executive Note: This report submitted to Finance department for FY2024 budget reconciliation. All quarterly spending aligned within 2% of budget. YoY marketing ROI improvement of 24.1% demonstrates strong operational discipline and data-driven decision making. Recommend approval of 2025 marketing budget allocation for continued growth trajectory.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2026-03-24T06:46:45Z</dcterms:created>
  <dcterms:modified xsi:type="dcterms:W3CDTF">2026-03-24T06:46:45Z</dcterms:modified>
</cp:coreProperties>
</file>

<file path=docProps/custom.xml><?xml version="1.0" encoding="utf-8"?>
<Properties xmlns="http://schemas.openxmlformats.org/officeDocument/2006/custom-properties" xmlns:vt="http://schemas.openxmlformats.org/officeDocument/2006/docPropsVTypes"/>
</file>