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ac5sbyckq4q" w:id="0"/>
      <w:bookmarkEnd w:id="0"/>
      <w:r w:rsidDel="00000000" w:rsidR="00000000" w:rsidRPr="00000000">
        <w:rPr>
          <w:rtl w:val="0"/>
        </w:rPr>
        <w:tab/>
        <w:t xml:space="preserve">Esami - esperienze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Cesa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L’esame è facile.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Non ci sono domande dirette sulla teoria. Ci sono tante domande relative al progetto che a volte coinvolgono la teoria.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Per questo motivo conviene sapere la teoria per rispondere bene alle domande relative al progetto.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Ma, non serve sforzare la memoria per ricordare esattamente formule difficili (a me no che non le usiamo e siano chiave).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Romina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Devi fare una presentazione di 20 min durante la quale ti fanno domande se qualcosa non è chiaro o sui metodi che hai usato o su che metodi abbiamo visto in classe che avresti potuto usare e quali sono le differenze.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 high level: concetti, non formule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Linda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Dipende molto dal progetto e dal gruppo.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Interrompono subito, durante la presentazione.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Vuole capire cosa stai spiegando, vuole vedere che tu hai capito.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Talvolta fa collegamenti con la teoria: le domande sono rivolte al gruppo.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 chiesto formule, espressioni.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Non crede che chieda dimostrazioni. Vuole vedere che hai studiato.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Lui all'esame è tranquillo. Però è serio e concentrato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