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7F91" w:rsidRDefault="00187F91" w:rsidP="00187F91">
      <w:pPr>
        <w:pStyle w:val="Title"/>
        <w:jc w:val="center"/>
      </w:pPr>
      <w:r>
        <w:t xml:space="preserve">Choosing the Location </w:t>
      </w:r>
      <w:r>
        <w:br/>
        <w:t>of a New Craft Brewery</w:t>
      </w:r>
    </w:p>
    <w:p w:rsidR="00187F91" w:rsidRPr="00187F91" w:rsidRDefault="00187F91" w:rsidP="00187F91"/>
    <w:p w:rsidR="00187F91" w:rsidRPr="0050741C" w:rsidRDefault="00187F91" w:rsidP="00187F91">
      <w:pPr>
        <w:jc w:val="center"/>
        <w:rPr>
          <w:lang w:val="es-EC"/>
        </w:rPr>
      </w:pPr>
      <w:r w:rsidRPr="0050741C">
        <w:rPr>
          <w:lang w:val="es-EC"/>
        </w:rPr>
        <w:t>Gabriel X. Martinez</w:t>
      </w:r>
    </w:p>
    <w:p w:rsidR="00187F91" w:rsidRPr="0050741C" w:rsidRDefault="00187F91" w:rsidP="00187F91">
      <w:pPr>
        <w:jc w:val="center"/>
        <w:rPr>
          <w:lang w:val="es-EC"/>
        </w:rPr>
      </w:pPr>
      <w:r w:rsidRPr="0050741C">
        <w:rPr>
          <w:lang w:val="es-EC"/>
        </w:rPr>
        <w:t>gmartinez@avemaria.edu</w:t>
      </w:r>
    </w:p>
    <w:p w:rsidR="00187F91" w:rsidRDefault="00187F91" w:rsidP="00187F91">
      <w:pPr>
        <w:pStyle w:val="Heading1"/>
      </w:pPr>
      <w:r>
        <w:t xml:space="preserve">Introduction </w:t>
      </w:r>
    </w:p>
    <w:p w:rsidR="00187F91" w:rsidRDefault="00187F91" w:rsidP="00187F91">
      <w:r>
        <w:t>In the last few decades, there has been increasing interest in craft brewing.  In this project I assume that I am advising a couple who want to start their own brewery.  They can live anywhere in the US, but they want to raise their chances of success.  They are looking for market research about potential markets.  The goal is to find neighborhoods that are underserved by breweries: neighborhoods that, given their market characteristics, should have more breweries than they currently have.</w:t>
      </w:r>
    </w:p>
    <w:p w:rsidR="00187F91" w:rsidRDefault="00187F91" w:rsidP="00187F91">
      <w:r>
        <w:t xml:space="preserve">Craft beer attracts people of certain demographic characteristics, both as consumers and as producers.  Not every potential or current craft brewer can </w:t>
      </w:r>
      <w:r w:rsidR="003163A1">
        <w:t>afford</w:t>
      </w:r>
      <w:r>
        <w:t xml:space="preserve"> to re-locate purely </w:t>
      </w:r>
      <w:r w:rsidR="003163A1">
        <w:t>on the basis of the market potential.  So this analysis is interesting to those who have a great deal of freedom to pick a new location across the country.  This analysis is interesting to craft brewers who are interested in … analysis – in careful, dispassionate, and rigorous thinking about practical problems – which seems to describe many craft brewers.</w:t>
      </w:r>
    </w:p>
    <w:p w:rsidR="00187F91" w:rsidRDefault="003163A1" w:rsidP="00187F91">
      <w:r>
        <w:t>Regarding consumers, m</w:t>
      </w:r>
      <w:r w:rsidR="00187F91">
        <w:t xml:space="preserve">y hypothesis is that cities with a high proportion of craft-brew aficionados tend to have </w:t>
      </w:r>
    </w:p>
    <w:p w:rsidR="00187F91" w:rsidRDefault="00187F91" w:rsidP="00187F91">
      <w:pPr>
        <w:numPr>
          <w:ilvl w:val="0"/>
          <w:numId w:val="1"/>
        </w:numPr>
        <w:pBdr>
          <w:top w:val="nil"/>
          <w:left w:val="nil"/>
          <w:bottom w:val="nil"/>
          <w:right w:val="nil"/>
          <w:between w:val="nil"/>
        </w:pBdr>
        <w:spacing w:after="0"/>
      </w:pPr>
      <w:r>
        <w:rPr>
          <w:color w:val="000000"/>
        </w:rPr>
        <w:t>Enough average income to pay prices that are higher than those for mass-produced beer;</w:t>
      </w:r>
    </w:p>
    <w:p w:rsidR="00187F91" w:rsidRDefault="00187F91" w:rsidP="00187F91">
      <w:pPr>
        <w:numPr>
          <w:ilvl w:val="0"/>
          <w:numId w:val="1"/>
        </w:numPr>
        <w:pBdr>
          <w:top w:val="nil"/>
          <w:left w:val="nil"/>
          <w:bottom w:val="nil"/>
          <w:right w:val="nil"/>
          <w:between w:val="nil"/>
        </w:pBdr>
        <w:spacing w:after="0"/>
      </w:pPr>
      <w:r>
        <w:rPr>
          <w:color w:val="000000"/>
        </w:rPr>
        <w:t>An economy that is sufficiently vibrant, measured, for example, by the number of people with jobs out of the whole population;</w:t>
      </w:r>
    </w:p>
    <w:p w:rsidR="00187F91" w:rsidRDefault="00187F91" w:rsidP="00187F91">
      <w:pPr>
        <w:numPr>
          <w:ilvl w:val="0"/>
          <w:numId w:val="1"/>
        </w:numPr>
        <w:pBdr>
          <w:top w:val="nil"/>
          <w:left w:val="nil"/>
          <w:bottom w:val="nil"/>
          <w:right w:val="nil"/>
          <w:between w:val="nil"/>
        </w:pBdr>
        <w:spacing w:after="0"/>
      </w:pPr>
      <w:r>
        <w:rPr>
          <w:color w:val="000000"/>
        </w:rPr>
        <w:t>Many people with an interest in trying new things and in learning details and relationships, often correlated with education levels;</w:t>
      </w:r>
    </w:p>
    <w:p w:rsidR="00187F91" w:rsidRDefault="00187F91" w:rsidP="00187F91">
      <w:pPr>
        <w:numPr>
          <w:ilvl w:val="0"/>
          <w:numId w:val="1"/>
        </w:numPr>
        <w:pBdr>
          <w:top w:val="nil"/>
          <w:left w:val="nil"/>
          <w:bottom w:val="nil"/>
          <w:right w:val="nil"/>
          <w:between w:val="nil"/>
        </w:pBdr>
      </w:pPr>
      <w:r>
        <w:rPr>
          <w:color w:val="000000"/>
        </w:rPr>
        <w:t>Enough of a craft-beer culture to generate a critical mass of interest.</w:t>
      </w:r>
    </w:p>
    <w:p w:rsidR="00187F91" w:rsidRDefault="00187F91" w:rsidP="00187F91">
      <w:bookmarkStart w:id="0" w:name="_gjdgxs" w:colFirst="0" w:colLast="0"/>
      <w:bookmarkEnd w:id="0"/>
      <w:r>
        <w:t>The last item is complex.  A city that is oversaturated with a particular industry will produce too much competition.  On the other hand, a sufficiently high concentration of that industry is necessary to ensure a sufficient number of suppliers.  While a garage brewer can rely on the internet, a commercial brewer will need to keep costs down to protect its margin, and this is helped by the pre-existence of a large enough base.</w:t>
      </w:r>
    </w:p>
    <w:p w:rsidR="00187F91" w:rsidRDefault="00187F91" w:rsidP="00187F91">
      <w:r>
        <w:t>Friendly government regulation is also important.  The very first entrant might raise suspicion – perhaps only the well-connected will get in.  As a few breweries are established, counties will develop adequate policies.  If too many exist, a backlash may develop.</w:t>
      </w:r>
    </w:p>
    <w:p w:rsidR="00187F91" w:rsidRDefault="00187F91" w:rsidP="00187F91">
      <w:r>
        <w:t xml:space="preserve">On the demand side, there is a “spillover” effect as an industry grows.  The “Got Milk” campaign is a classic example: instead of promoting the products of a particular supplier, the industry association promoted milk in general, betting that if enough people drank enough milk, then drinking it would be socially </w:t>
      </w:r>
      <w:r>
        <w:lastRenderedPageBreak/>
        <w:t>acceptable and bring more people in.  Likewise, the first craft-brew place in a city might struggle to generate interest and be only patronized by people perceived by others as “geeks.”  But if there is a critical mass of breweries, it will be acceptable to go beyond the mass-market beer.</w:t>
      </w:r>
    </w:p>
    <w:p w:rsidR="00187F91" w:rsidRDefault="00187F91" w:rsidP="00187F91">
      <w:r>
        <w:t xml:space="preserve">As an example of the latter point, note that Budweiser first reacted against the craft beer revolution: “brewed for drinking, not dissecting,” said </w:t>
      </w:r>
      <w:hyperlink r:id="rId7">
        <w:r>
          <w:rPr>
            <w:color w:val="0000FF"/>
            <w:u w:val="single"/>
          </w:rPr>
          <w:t>a 2015 commercial</w:t>
        </w:r>
      </w:hyperlink>
      <w:r>
        <w:t xml:space="preserve">, to which craft beers responded </w:t>
      </w:r>
      <w:hyperlink r:id="rId8">
        <w:r>
          <w:rPr>
            <w:color w:val="0000FF"/>
            <w:u w:val="single"/>
          </w:rPr>
          <w:t>in the same style</w:t>
        </w:r>
      </w:hyperlink>
      <w:r>
        <w:t xml:space="preserve">.  By now, Anheuser-Busch has caved, producing a line of “distinctive” beers, such as the </w:t>
      </w:r>
      <w:hyperlink r:id="rId9">
        <w:r>
          <w:rPr>
            <w:color w:val="0000FF"/>
            <w:u w:val="single"/>
          </w:rPr>
          <w:t>Discovery Reserve</w:t>
        </w:r>
      </w:hyperlink>
      <w:r>
        <w:t>, “its taste inspired by an archival recipe from that time in history. Featuring toasted Voyager barley malt, the lager’s reddish color is reminiscent of the next frontier - Mars.”</w:t>
      </w:r>
    </w:p>
    <w:p w:rsidR="00187F91" w:rsidRDefault="00187F91" w:rsidP="00187F91">
      <w:r>
        <w:t>The goal, then, is to find Metropolitan Statistical Areas (a) that have a sufficient critical mass of people who are likely to have been exposed to craft beer and who have enough income to afford it, which is (b) demonstrated by the existence of some craft brewing, but (c) not enough to overwhelm a new entrant.</w:t>
      </w:r>
    </w:p>
    <w:p w:rsidR="00187F91" w:rsidRDefault="00187F91" w:rsidP="00187F91">
      <w:pPr>
        <w:pStyle w:val="Heading1"/>
      </w:pPr>
      <w:r>
        <w:t xml:space="preserve">Data </w:t>
      </w:r>
    </w:p>
    <w:p w:rsidR="00187F91" w:rsidRDefault="00187F91" w:rsidP="00187F91">
      <w:r>
        <w:t>where you describe the data that will be used to solve the problem and the source of the data.</w:t>
      </w:r>
    </w:p>
    <w:p w:rsidR="00AB39D0" w:rsidRDefault="00AB39D0" w:rsidP="00AB39D0">
      <w:r>
        <w:t>An MSA is "a core area containing a substantial population nucleus, together with adjacent communities having a high degree of economic and social integration with that core. … Under the standards, the county (or counties) in which at least 50 percent of the population resides within urban areas of 10,000 or more population, or that contain at least 5,000 people residing within a single urban area of 10,000 or more population, is identified as a "central county" (counties). Additional "outlying counties" are included in the CBSA if they meet specified requirements of commuting to or from the central counties."</w:t>
      </w:r>
    </w:p>
    <w:p w:rsidR="00AB39D0" w:rsidRDefault="00AB39D0" w:rsidP="00AB39D0">
      <w:r>
        <w:t xml:space="preserve">Because the definition insists on economic integration, MSAs vary widely in size.  The data are drawn from the Census Bureau and include, for each Metropolitan Statistical Area (MSA) of the United States.  </w:t>
      </w:r>
    </w:p>
    <w:p w:rsidR="000137DE" w:rsidRPr="000137DE" w:rsidRDefault="00FF6A73" w:rsidP="000137DE">
      <w:pPr>
        <w:numPr>
          <w:ilvl w:val="0"/>
          <w:numId w:val="1"/>
        </w:numPr>
        <w:pBdr>
          <w:top w:val="nil"/>
          <w:left w:val="nil"/>
          <w:bottom w:val="nil"/>
          <w:right w:val="nil"/>
          <w:between w:val="nil"/>
        </w:pBdr>
        <w:spacing w:after="0"/>
        <w:jc w:val="left"/>
        <w:rPr>
          <w:color w:val="000000"/>
        </w:rPr>
      </w:pPr>
      <w:r>
        <w:rPr>
          <w:color w:val="000000"/>
        </w:rPr>
        <w:t>Brewery Density.  Two alternative measures of the Dependent Variable are used</w:t>
      </w:r>
      <w:r w:rsidR="000137DE">
        <w:rPr>
          <w:color w:val="000000"/>
        </w:rPr>
        <w:t>.  F</w:t>
      </w:r>
      <w:r w:rsidR="000137DE" w:rsidRPr="000137DE">
        <w:rPr>
          <w:color w:val="000000"/>
        </w:rPr>
        <w:t>rom FourSquare, CategoryID = '50327c8591d4c4b30a586d5d'</w:t>
      </w:r>
      <w:r w:rsidR="000137DE">
        <w:rPr>
          <w:color w:val="000000"/>
        </w:rPr>
        <w:t>,</w:t>
      </w:r>
    </w:p>
    <w:p w:rsidR="00FF6A73" w:rsidRDefault="00FF6A73" w:rsidP="001841A9">
      <w:pPr>
        <w:numPr>
          <w:ilvl w:val="1"/>
          <w:numId w:val="1"/>
        </w:numPr>
        <w:pBdr>
          <w:top w:val="nil"/>
          <w:left w:val="nil"/>
          <w:bottom w:val="nil"/>
          <w:right w:val="nil"/>
          <w:between w:val="nil"/>
        </w:pBdr>
        <w:spacing w:after="0"/>
        <w:jc w:val="left"/>
        <w:rPr>
          <w:color w:val="000000"/>
        </w:rPr>
      </w:pPr>
      <w:r>
        <w:rPr>
          <w:color w:val="000000"/>
        </w:rPr>
        <w:t>breweries per 100,000 people.  D</w:t>
      </w:r>
      <w:r w:rsidRPr="00C27D82">
        <w:rPr>
          <w:color w:val="000000"/>
        </w:rPr>
        <w:t>ivide number of breweries</w:t>
      </w:r>
      <w:r w:rsidR="001841A9">
        <w:rPr>
          <w:color w:val="000000"/>
        </w:rPr>
        <w:t xml:space="preserve"> </w:t>
      </w:r>
      <w:r>
        <w:rPr>
          <w:color w:val="000000"/>
        </w:rPr>
        <w:t>by the population of the MSA and multiply by 100,000</w:t>
      </w:r>
      <w:r w:rsidRPr="00C27D82">
        <w:rPr>
          <w:color w:val="000000"/>
        </w:rPr>
        <w:t>.</w:t>
      </w:r>
    </w:p>
    <w:p w:rsidR="00FF6A73" w:rsidRDefault="00FF6A73" w:rsidP="00FF6A73">
      <w:pPr>
        <w:numPr>
          <w:ilvl w:val="1"/>
          <w:numId w:val="1"/>
        </w:numPr>
        <w:pBdr>
          <w:top w:val="nil"/>
          <w:left w:val="nil"/>
          <w:bottom w:val="nil"/>
          <w:right w:val="nil"/>
          <w:between w:val="nil"/>
        </w:pBdr>
        <w:spacing w:after="0"/>
        <w:jc w:val="left"/>
        <w:rPr>
          <w:color w:val="000000"/>
        </w:rPr>
      </w:pPr>
      <w:r>
        <w:rPr>
          <w:color w:val="000000"/>
        </w:rPr>
        <w:t>breweries per 100 square miles.  D</w:t>
      </w:r>
      <w:r w:rsidRPr="00C27D82">
        <w:rPr>
          <w:color w:val="000000"/>
        </w:rPr>
        <w:t>ivide number of breweries</w:t>
      </w:r>
      <w:r>
        <w:rPr>
          <w:color w:val="000000"/>
        </w:rPr>
        <w:t xml:space="preserve"> by the land area of the MSA and multiply by 100</w:t>
      </w:r>
      <w:r w:rsidRPr="00C27D82">
        <w:rPr>
          <w:color w:val="000000"/>
        </w:rPr>
        <w:t>.</w:t>
      </w:r>
    </w:p>
    <w:p w:rsidR="00AC3019" w:rsidRDefault="00AC3019" w:rsidP="00FF6A73">
      <w:pPr>
        <w:pBdr>
          <w:top w:val="nil"/>
          <w:left w:val="nil"/>
          <w:bottom w:val="nil"/>
          <w:right w:val="nil"/>
          <w:between w:val="nil"/>
        </w:pBdr>
        <w:spacing w:after="0"/>
        <w:jc w:val="left"/>
        <w:rPr>
          <w:color w:val="000000"/>
        </w:rPr>
      </w:pPr>
    </w:p>
    <w:p w:rsidR="00FF6A73" w:rsidRPr="00C27D82" w:rsidRDefault="00FF6A73" w:rsidP="00FF6A73">
      <w:pPr>
        <w:pBdr>
          <w:top w:val="nil"/>
          <w:left w:val="nil"/>
          <w:bottom w:val="nil"/>
          <w:right w:val="nil"/>
          <w:between w:val="nil"/>
        </w:pBdr>
        <w:spacing w:after="0"/>
        <w:jc w:val="left"/>
        <w:rPr>
          <w:color w:val="000000"/>
        </w:rPr>
      </w:pPr>
      <w:r>
        <w:rPr>
          <w:color w:val="000000"/>
        </w:rPr>
        <w:t>Explanatory Variables:</w:t>
      </w:r>
    </w:p>
    <w:p w:rsidR="00FF6A73" w:rsidRDefault="00FF6A73" w:rsidP="00FF6A73">
      <w:pPr>
        <w:numPr>
          <w:ilvl w:val="0"/>
          <w:numId w:val="1"/>
        </w:numPr>
        <w:pBdr>
          <w:top w:val="nil"/>
          <w:left w:val="nil"/>
          <w:bottom w:val="nil"/>
          <w:right w:val="nil"/>
          <w:between w:val="nil"/>
        </w:pBdr>
        <w:spacing w:after="0"/>
        <w:jc w:val="left"/>
        <w:rPr>
          <w:color w:val="000000"/>
        </w:rPr>
      </w:pPr>
      <w:r>
        <w:rPr>
          <w:color w:val="000000"/>
        </w:rPr>
        <w:t>Bar Density</w:t>
      </w:r>
      <w:r w:rsidR="000137DE">
        <w:rPr>
          <w:color w:val="000000"/>
        </w:rPr>
        <w:t xml:space="preserve">.  From FourSquare, </w:t>
      </w:r>
      <w:r w:rsidR="000137DE" w:rsidRPr="001841A9">
        <w:rPr>
          <w:color w:val="000000"/>
        </w:rPr>
        <w:t>CategoryID = '4bf58dd8d48988d116941735'</w:t>
      </w:r>
      <w:r w:rsidR="000137DE">
        <w:rPr>
          <w:color w:val="000000"/>
        </w:rPr>
        <w:t>,</w:t>
      </w:r>
    </w:p>
    <w:p w:rsidR="00FF6A73" w:rsidRDefault="00FF6A73" w:rsidP="001841A9">
      <w:pPr>
        <w:numPr>
          <w:ilvl w:val="1"/>
          <w:numId w:val="1"/>
        </w:numPr>
        <w:pBdr>
          <w:top w:val="nil"/>
          <w:left w:val="nil"/>
          <w:bottom w:val="nil"/>
          <w:right w:val="nil"/>
          <w:between w:val="nil"/>
        </w:pBdr>
        <w:spacing w:after="0"/>
        <w:jc w:val="left"/>
        <w:rPr>
          <w:color w:val="000000"/>
        </w:rPr>
      </w:pPr>
      <w:r>
        <w:rPr>
          <w:color w:val="000000"/>
        </w:rPr>
        <w:t>bars per 100,000 people.  D</w:t>
      </w:r>
      <w:r w:rsidRPr="00C27D82">
        <w:rPr>
          <w:color w:val="000000"/>
        </w:rPr>
        <w:t xml:space="preserve">ivide number of </w:t>
      </w:r>
      <w:r>
        <w:rPr>
          <w:color w:val="000000"/>
        </w:rPr>
        <w:t>bars by the population of the MSA and multiply by 100,000</w:t>
      </w:r>
      <w:r w:rsidRPr="00C27D82">
        <w:rPr>
          <w:color w:val="000000"/>
        </w:rPr>
        <w:t>.</w:t>
      </w:r>
    </w:p>
    <w:p w:rsidR="00FF6A73" w:rsidRPr="00C27D82" w:rsidRDefault="00FF6A73" w:rsidP="00FF6A73">
      <w:pPr>
        <w:numPr>
          <w:ilvl w:val="1"/>
          <w:numId w:val="1"/>
        </w:numPr>
        <w:pBdr>
          <w:top w:val="nil"/>
          <w:left w:val="nil"/>
          <w:bottom w:val="nil"/>
          <w:right w:val="nil"/>
          <w:between w:val="nil"/>
        </w:pBdr>
        <w:spacing w:after="0"/>
        <w:jc w:val="left"/>
        <w:rPr>
          <w:color w:val="000000"/>
        </w:rPr>
      </w:pPr>
      <w:r>
        <w:rPr>
          <w:color w:val="000000"/>
        </w:rPr>
        <w:t>bars per 100 square miles.  D</w:t>
      </w:r>
      <w:r w:rsidRPr="00C27D82">
        <w:rPr>
          <w:color w:val="000000"/>
        </w:rPr>
        <w:t xml:space="preserve">ivide number of </w:t>
      </w:r>
      <w:r>
        <w:rPr>
          <w:color w:val="000000"/>
        </w:rPr>
        <w:t>bars by the land area of the MSA and multiply by 100</w:t>
      </w:r>
      <w:r w:rsidRPr="00C27D82">
        <w:rPr>
          <w:color w:val="000000"/>
        </w:rPr>
        <w:t>.</w:t>
      </w:r>
    </w:p>
    <w:p w:rsidR="00AB39D0" w:rsidRDefault="00AB39D0" w:rsidP="007B43F6">
      <w:pPr>
        <w:keepNext/>
        <w:numPr>
          <w:ilvl w:val="0"/>
          <w:numId w:val="1"/>
        </w:numPr>
        <w:pBdr>
          <w:top w:val="nil"/>
          <w:left w:val="nil"/>
          <w:bottom w:val="nil"/>
          <w:right w:val="nil"/>
          <w:between w:val="nil"/>
        </w:pBdr>
        <w:spacing w:after="0"/>
        <w:jc w:val="left"/>
      </w:pPr>
      <w:r>
        <w:t>Personal Income</w:t>
      </w:r>
      <w:r>
        <w:rPr>
          <w:color w:val="000000"/>
        </w:rPr>
        <w:t xml:space="preserve"> per person (Bureau of the Census)</w:t>
      </w:r>
      <w:r>
        <w:rPr>
          <w:rStyle w:val="FootnoteReference"/>
          <w:color w:val="000000"/>
        </w:rPr>
        <w:footnoteReference w:id="1"/>
      </w:r>
    </w:p>
    <w:p w:rsidR="00AB39D0" w:rsidRDefault="00AB39D0" w:rsidP="00AB39D0">
      <w:pPr>
        <w:numPr>
          <w:ilvl w:val="1"/>
          <w:numId w:val="1"/>
        </w:numPr>
        <w:pBdr>
          <w:top w:val="nil"/>
          <w:left w:val="nil"/>
          <w:bottom w:val="nil"/>
          <w:right w:val="nil"/>
          <w:between w:val="nil"/>
        </w:pBdr>
        <w:spacing w:after="0"/>
        <w:jc w:val="left"/>
      </w:pPr>
      <w:r>
        <w:t>A better measure than GDP per person (which includes corporate retained earnings, etc.), this quantity measures the average income received by the residents of that MSA.</w:t>
      </w:r>
    </w:p>
    <w:p w:rsidR="00AB39D0" w:rsidRDefault="00AB39D0" w:rsidP="00AB39D0">
      <w:pPr>
        <w:numPr>
          <w:ilvl w:val="0"/>
          <w:numId w:val="1"/>
        </w:numPr>
        <w:pBdr>
          <w:top w:val="nil"/>
          <w:left w:val="nil"/>
          <w:bottom w:val="nil"/>
          <w:right w:val="nil"/>
          <w:between w:val="nil"/>
        </w:pBdr>
        <w:spacing w:after="0"/>
        <w:jc w:val="left"/>
      </w:pPr>
      <w:r>
        <w:rPr>
          <w:color w:val="000000"/>
        </w:rPr>
        <w:lastRenderedPageBreak/>
        <w:t>Jobs-Population ratio (Bureau of the Census)</w:t>
      </w:r>
    </w:p>
    <w:p w:rsidR="00AB39D0" w:rsidRDefault="00AB39D0" w:rsidP="00AB39D0">
      <w:pPr>
        <w:numPr>
          <w:ilvl w:val="1"/>
          <w:numId w:val="1"/>
        </w:numPr>
        <w:pBdr>
          <w:top w:val="nil"/>
          <w:left w:val="nil"/>
          <w:bottom w:val="nil"/>
          <w:right w:val="nil"/>
          <w:between w:val="nil"/>
        </w:pBdr>
        <w:spacing w:after="0"/>
        <w:jc w:val="left"/>
      </w:pPr>
      <w:r>
        <w:t xml:space="preserve">Calculated by dividing the number of jobs in the MSA by the population of the MSA. While (a) not all jobs are filled and (b) some people have more than one job, so this is not the same as an employment-population ratio.  However, it is a good measure of the economic vitality of an areas. </w:t>
      </w:r>
    </w:p>
    <w:p w:rsidR="00AB39D0" w:rsidRDefault="00AB39D0" w:rsidP="00AB39D0">
      <w:pPr>
        <w:numPr>
          <w:ilvl w:val="1"/>
          <w:numId w:val="1"/>
        </w:numPr>
        <w:pBdr>
          <w:top w:val="nil"/>
          <w:left w:val="nil"/>
          <w:bottom w:val="nil"/>
          <w:right w:val="nil"/>
          <w:between w:val="nil"/>
        </w:pBdr>
        <w:spacing w:after="0"/>
        <w:jc w:val="left"/>
      </w:pPr>
      <w:r>
        <w:t>Also notice that some residents may work outside of the MSA while some jobs are filled by people who commute into it. However, the definition of MSA (to include outlying commuting areas) reduces this bias.</w:t>
      </w:r>
    </w:p>
    <w:p w:rsidR="00AB39D0" w:rsidRDefault="00AB39D0" w:rsidP="00AB39D0">
      <w:pPr>
        <w:numPr>
          <w:ilvl w:val="0"/>
          <w:numId w:val="1"/>
        </w:numPr>
        <w:pBdr>
          <w:top w:val="nil"/>
          <w:left w:val="nil"/>
          <w:bottom w:val="nil"/>
          <w:right w:val="nil"/>
          <w:between w:val="nil"/>
        </w:pBdr>
        <w:spacing w:after="0"/>
        <w:jc w:val="left"/>
      </w:pPr>
      <w:r>
        <w:rPr>
          <w:color w:val="000000"/>
        </w:rPr>
        <w:t>Proportion of college educated and graduate-school educated (Bureau of the Census via SSTI)</w:t>
      </w:r>
      <w:r>
        <w:rPr>
          <w:rStyle w:val="FootnoteReference"/>
          <w:color w:val="000000"/>
        </w:rPr>
        <w:footnoteReference w:id="2"/>
      </w:r>
    </w:p>
    <w:p w:rsidR="00AB39D0" w:rsidRDefault="00AB39D0" w:rsidP="00AB39D0">
      <w:pPr>
        <w:numPr>
          <w:ilvl w:val="1"/>
          <w:numId w:val="1"/>
        </w:numPr>
        <w:pBdr>
          <w:top w:val="nil"/>
          <w:left w:val="nil"/>
          <w:bottom w:val="nil"/>
          <w:right w:val="nil"/>
          <w:between w:val="nil"/>
        </w:pBdr>
        <w:spacing w:after="0"/>
        <w:jc w:val="left"/>
      </w:pPr>
      <w:r>
        <w:t>Share of the population 25 years old or older with university degrees: associates, bachelors, graduate/professional, and “at least bachelors.”</w:t>
      </w:r>
    </w:p>
    <w:p w:rsidR="00AB39D0" w:rsidRDefault="00AB39D0" w:rsidP="00AB39D0">
      <w:pPr>
        <w:numPr>
          <w:ilvl w:val="0"/>
          <w:numId w:val="1"/>
        </w:numPr>
        <w:pBdr>
          <w:top w:val="nil"/>
          <w:left w:val="nil"/>
          <w:bottom w:val="nil"/>
          <w:right w:val="nil"/>
          <w:between w:val="nil"/>
        </w:pBdr>
        <w:spacing w:after="0"/>
        <w:jc w:val="left"/>
        <w:rPr>
          <w:color w:val="000000"/>
        </w:rPr>
      </w:pPr>
      <w:r>
        <w:rPr>
          <w:color w:val="000000"/>
        </w:rPr>
        <w:t>Population Density</w:t>
      </w:r>
      <w:r w:rsidR="00965755">
        <w:rPr>
          <w:color w:val="000000"/>
        </w:rPr>
        <w:t xml:space="preserve"> and Housing Density</w:t>
      </w:r>
      <w:r>
        <w:rPr>
          <w:color w:val="000000"/>
        </w:rPr>
        <w:t xml:space="preserve"> (Bureau of the Census</w:t>
      </w:r>
      <w:r>
        <w:t>)</w:t>
      </w:r>
      <w:r>
        <w:rPr>
          <w:rStyle w:val="FootnoteReference"/>
        </w:rPr>
        <w:footnoteReference w:id="3"/>
      </w:r>
    </w:p>
    <w:p w:rsidR="00AB39D0" w:rsidRDefault="00AB39D0" w:rsidP="00AB39D0">
      <w:pPr>
        <w:numPr>
          <w:ilvl w:val="1"/>
          <w:numId w:val="1"/>
        </w:numPr>
        <w:pBdr>
          <w:top w:val="nil"/>
          <w:left w:val="nil"/>
          <w:bottom w:val="nil"/>
          <w:right w:val="nil"/>
          <w:between w:val="nil"/>
        </w:pBdr>
        <w:spacing w:after="0"/>
        <w:jc w:val="left"/>
        <w:rPr>
          <w:color w:val="000000"/>
        </w:rPr>
      </w:pPr>
      <w:r>
        <w:rPr>
          <w:color w:val="000000"/>
        </w:rPr>
        <w:t xml:space="preserve">Craft breweries often become a neighborhood business.  Moreover, the nature of their product is such that driving long distances from or two them is unadvisable.  Therefore, it makes sense to assume that higher population densities are correlated with a higher density of breweries. </w:t>
      </w:r>
    </w:p>
    <w:p w:rsidR="00965755" w:rsidRDefault="00965755" w:rsidP="00965755">
      <w:pPr>
        <w:numPr>
          <w:ilvl w:val="0"/>
          <w:numId w:val="1"/>
        </w:numPr>
        <w:pBdr>
          <w:top w:val="nil"/>
          <w:left w:val="nil"/>
          <w:bottom w:val="nil"/>
          <w:right w:val="nil"/>
          <w:between w:val="nil"/>
        </w:pBdr>
        <w:spacing w:after="0"/>
        <w:jc w:val="left"/>
        <w:rPr>
          <w:color w:val="000000"/>
        </w:rPr>
      </w:pPr>
      <w:r>
        <w:rPr>
          <w:color w:val="000000"/>
        </w:rPr>
        <w:t>Percent Female and Percent of the Population between 25 and 44 years old (Bureau of the Census</w:t>
      </w:r>
      <w:r>
        <w:t>)</w:t>
      </w:r>
    </w:p>
    <w:p w:rsidR="00965755" w:rsidRDefault="00965755" w:rsidP="00965755">
      <w:pPr>
        <w:numPr>
          <w:ilvl w:val="1"/>
          <w:numId w:val="1"/>
        </w:numPr>
        <w:pBdr>
          <w:top w:val="nil"/>
          <w:left w:val="nil"/>
          <w:bottom w:val="nil"/>
          <w:right w:val="nil"/>
          <w:between w:val="nil"/>
        </w:pBdr>
        <w:spacing w:after="0"/>
        <w:jc w:val="left"/>
        <w:rPr>
          <w:color w:val="000000"/>
        </w:rPr>
      </w:pPr>
      <w:r>
        <w:rPr>
          <w:color w:val="000000"/>
        </w:rPr>
        <w:t>Craft brewing seems to be associated with a younger, “millennial” generation.  There may also be an association with sex ratios.</w:t>
      </w:r>
    </w:p>
    <w:p w:rsidR="0050741C" w:rsidRDefault="0050741C" w:rsidP="0050741C">
      <w:pPr>
        <w:pStyle w:val="Heading2"/>
      </w:pPr>
      <w:r>
        <w:t>Example Data</w:t>
      </w:r>
    </w:p>
    <w:p w:rsidR="00AB39D0" w:rsidRDefault="0050741C" w:rsidP="00187F91">
      <w:r>
        <w:t>Here follow the first five observations</w:t>
      </w:r>
      <w:r w:rsidR="00832E38">
        <w:t>:</w:t>
      </w:r>
    </w:p>
    <w:tbl>
      <w:tblPr>
        <w:tblStyle w:val="GridTable3-Accent1"/>
        <w:tblW w:w="9270" w:type="dxa"/>
        <w:tblInd w:w="5" w:type="dxa"/>
        <w:tblLayout w:type="fixed"/>
        <w:tblLook w:val="04A0" w:firstRow="1" w:lastRow="0" w:firstColumn="1" w:lastColumn="0" w:noHBand="0" w:noVBand="1"/>
      </w:tblPr>
      <w:tblGrid>
        <w:gridCol w:w="3235"/>
        <w:gridCol w:w="1080"/>
        <w:gridCol w:w="990"/>
        <w:gridCol w:w="1080"/>
        <w:gridCol w:w="1080"/>
        <w:gridCol w:w="1805"/>
      </w:tblGrid>
      <w:tr w:rsidR="00A60E10" w:rsidRPr="0050741C" w:rsidTr="00A60E10">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235" w:type="dxa"/>
            <w:noWrap/>
            <w:hideMark/>
          </w:tcPr>
          <w:p w:rsidR="0050741C" w:rsidRPr="0050741C" w:rsidRDefault="0050741C" w:rsidP="0050741C">
            <w:pPr>
              <w:jc w:val="left"/>
              <w:rPr>
                <w:rFonts w:ascii="Calibri" w:eastAsia="Times New Roman" w:hAnsi="Calibri" w:cs="Calibri"/>
                <w:color w:val="000000"/>
                <w:sz w:val="18"/>
                <w:szCs w:val="18"/>
              </w:rPr>
            </w:pPr>
            <w:r w:rsidRPr="0050741C">
              <w:rPr>
                <w:rFonts w:ascii="Calibri" w:eastAsia="Times New Roman" w:hAnsi="Calibri" w:cs="Calibri"/>
                <w:color w:val="000000"/>
                <w:sz w:val="18"/>
                <w:szCs w:val="18"/>
              </w:rPr>
              <w:t>GeoFips</w:t>
            </w:r>
          </w:p>
        </w:tc>
        <w:tc>
          <w:tcPr>
            <w:tcW w:w="1080" w:type="dxa"/>
            <w:noWrap/>
            <w:hideMark/>
          </w:tcPr>
          <w:p w:rsidR="0050741C" w:rsidRPr="0050741C" w:rsidRDefault="0050741C" w:rsidP="0050741C">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10180</w:t>
            </w:r>
          </w:p>
        </w:tc>
        <w:tc>
          <w:tcPr>
            <w:tcW w:w="990" w:type="dxa"/>
            <w:noWrap/>
            <w:hideMark/>
          </w:tcPr>
          <w:p w:rsidR="0050741C" w:rsidRPr="0050741C" w:rsidRDefault="0050741C" w:rsidP="0050741C">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10420</w:t>
            </w:r>
          </w:p>
        </w:tc>
        <w:tc>
          <w:tcPr>
            <w:tcW w:w="1080" w:type="dxa"/>
            <w:noWrap/>
            <w:hideMark/>
          </w:tcPr>
          <w:p w:rsidR="0050741C" w:rsidRPr="0050741C" w:rsidRDefault="0050741C" w:rsidP="0050741C">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10500</w:t>
            </w:r>
          </w:p>
        </w:tc>
        <w:tc>
          <w:tcPr>
            <w:tcW w:w="1080" w:type="dxa"/>
            <w:noWrap/>
            <w:hideMark/>
          </w:tcPr>
          <w:p w:rsidR="0050741C" w:rsidRPr="0050741C" w:rsidRDefault="0050741C" w:rsidP="0050741C">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10540</w:t>
            </w:r>
          </w:p>
        </w:tc>
        <w:tc>
          <w:tcPr>
            <w:tcW w:w="1805" w:type="dxa"/>
            <w:noWrap/>
            <w:hideMark/>
          </w:tcPr>
          <w:p w:rsidR="0050741C" w:rsidRPr="0050741C" w:rsidRDefault="0050741C" w:rsidP="0050741C">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10580</w:t>
            </w:r>
          </w:p>
        </w:tc>
      </w:tr>
      <w:tr w:rsidR="00A60E10" w:rsidRPr="0050741C" w:rsidTr="00A60E1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35" w:type="dxa"/>
            <w:noWrap/>
            <w:hideMark/>
          </w:tcPr>
          <w:p w:rsidR="0050741C" w:rsidRPr="0050741C" w:rsidRDefault="0050741C" w:rsidP="0050741C">
            <w:pPr>
              <w:jc w:val="left"/>
              <w:rPr>
                <w:rFonts w:ascii="Calibri" w:eastAsia="Times New Roman" w:hAnsi="Calibri" w:cs="Calibri"/>
                <w:color w:val="000000"/>
                <w:sz w:val="18"/>
                <w:szCs w:val="18"/>
              </w:rPr>
            </w:pPr>
            <w:r w:rsidRPr="0050741C">
              <w:rPr>
                <w:rFonts w:ascii="Calibri" w:eastAsia="Times New Roman" w:hAnsi="Calibri" w:cs="Calibri"/>
                <w:color w:val="000000"/>
                <w:sz w:val="18"/>
                <w:szCs w:val="18"/>
              </w:rPr>
              <w:t>GeoName</w:t>
            </w:r>
            <w:r>
              <w:rPr>
                <w:rFonts w:ascii="Calibri" w:eastAsia="Times New Roman" w:hAnsi="Calibri" w:cs="Calibri"/>
                <w:color w:val="000000"/>
                <w:sz w:val="18"/>
                <w:szCs w:val="18"/>
              </w:rPr>
              <w:t xml:space="preserve"> </w:t>
            </w:r>
            <w:r w:rsidRPr="0050741C">
              <w:rPr>
                <w:rFonts w:ascii="Calibri" w:eastAsia="Times New Roman" w:hAnsi="Calibri" w:cs="Calibri"/>
                <w:color w:val="000000"/>
                <w:sz w:val="18"/>
                <w:szCs w:val="18"/>
              </w:rPr>
              <w:t>(Metropolitan Statistical Area)</w:t>
            </w:r>
          </w:p>
        </w:tc>
        <w:tc>
          <w:tcPr>
            <w:tcW w:w="1080" w:type="dxa"/>
            <w:noWrap/>
            <w:hideMark/>
          </w:tcPr>
          <w:p w:rsidR="0050741C" w:rsidRPr="0050741C" w:rsidRDefault="0050741C" w:rsidP="0050741C">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 xml:space="preserve">Abilene, TX </w:t>
            </w:r>
          </w:p>
        </w:tc>
        <w:tc>
          <w:tcPr>
            <w:tcW w:w="990" w:type="dxa"/>
            <w:noWrap/>
            <w:hideMark/>
          </w:tcPr>
          <w:p w:rsidR="0050741C" w:rsidRPr="0050741C" w:rsidRDefault="0050741C" w:rsidP="0050741C">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Akron, OH</w:t>
            </w:r>
          </w:p>
        </w:tc>
        <w:tc>
          <w:tcPr>
            <w:tcW w:w="1080" w:type="dxa"/>
            <w:noWrap/>
            <w:hideMark/>
          </w:tcPr>
          <w:p w:rsidR="0050741C" w:rsidRPr="0050741C" w:rsidRDefault="0050741C" w:rsidP="0050741C">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Albany, GA</w:t>
            </w:r>
          </w:p>
        </w:tc>
        <w:tc>
          <w:tcPr>
            <w:tcW w:w="1080" w:type="dxa"/>
            <w:noWrap/>
            <w:hideMark/>
          </w:tcPr>
          <w:p w:rsidR="0050741C" w:rsidRPr="0050741C" w:rsidRDefault="0050741C" w:rsidP="0050741C">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Albany, OR</w:t>
            </w:r>
          </w:p>
        </w:tc>
        <w:tc>
          <w:tcPr>
            <w:tcW w:w="1805" w:type="dxa"/>
            <w:noWrap/>
            <w:hideMark/>
          </w:tcPr>
          <w:p w:rsidR="0050741C" w:rsidRPr="0050741C" w:rsidRDefault="0050741C" w:rsidP="00F16C9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Albany-Sch</w:t>
            </w:r>
            <w:r w:rsidR="00F16C9E">
              <w:rPr>
                <w:rFonts w:ascii="Calibri" w:eastAsia="Times New Roman" w:hAnsi="Calibri" w:cs="Calibri"/>
                <w:color w:val="000000"/>
                <w:sz w:val="18"/>
                <w:szCs w:val="18"/>
              </w:rPr>
              <w:t>.</w:t>
            </w:r>
            <w:r w:rsidRPr="0050741C">
              <w:rPr>
                <w:rFonts w:ascii="Calibri" w:eastAsia="Times New Roman" w:hAnsi="Calibri" w:cs="Calibri"/>
                <w:color w:val="000000"/>
                <w:sz w:val="18"/>
                <w:szCs w:val="18"/>
              </w:rPr>
              <w:t>-Troy, NY</w:t>
            </w:r>
          </w:p>
        </w:tc>
      </w:tr>
      <w:tr w:rsidR="00A60E10" w:rsidRPr="0050741C" w:rsidTr="00A60E10">
        <w:trPr>
          <w:trHeight w:val="300"/>
        </w:trPr>
        <w:tc>
          <w:tcPr>
            <w:cnfStyle w:val="001000000000" w:firstRow="0" w:lastRow="0" w:firstColumn="1" w:lastColumn="0" w:oddVBand="0" w:evenVBand="0" w:oddHBand="0" w:evenHBand="0" w:firstRowFirstColumn="0" w:firstRowLastColumn="0" w:lastRowFirstColumn="0" w:lastRowLastColumn="0"/>
            <w:tcW w:w="3235" w:type="dxa"/>
            <w:noWrap/>
            <w:hideMark/>
          </w:tcPr>
          <w:p w:rsidR="0050741C" w:rsidRPr="0050741C" w:rsidRDefault="0050741C" w:rsidP="00E34B5B">
            <w:pPr>
              <w:jc w:val="left"/>
              <w:rPr>
                <w:rFonts w:ascii="Calibri" w:eastAsia="Times New Roman" w:hAnsi="Calibri" w:cs="Calibri"/>
                <w:color w:val="000000"/>
                <w:sz w:val="18"/>
                <w:szCs w:val="18"/>
              </w:rPr>
            </w:pPr>
            <w:r w:rsidRPr="0050741C">
              <w:rPr>
                <w:rFonts w:ascii="Calibri" w:eastAsia="Times New Roman" w:hAnsi="Calibri" w:cs="Calibri"/>
                <w:color w:val="000000"/>
                <w:sz w:val="18"/>
                <w:szCs w:val="18"/>
              </w:rPr>
              <w:t>Latitude</w:t>
            </w:r>
          </w:p>
        </w:tc>
        <w:tc>
          <w:tcPr>
            <w:tcW w:w="1080" w:type="dxa"/>
            <w:noWrap/>
            <w:hideMark/>
          </w:tcPr>
          <w:p w:rsidR="0050741C" w:rsidRPr="0050741C" w:rsidRDefault="0050741C" w:rsidP="00E34B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32.45</w:t>
            </w:r>
          </w:p>
        </w:tc>
        <w:tc>
          <w:tcPr>
            <w:tcW w:w="990" w:type="dxa"/>
            <w:noWrap/>
            <w:hideMark/>
          </w:tcPr>
          <w:p w:rsidR="0050741C" w:rsidRPr="0050741C" w:rsidRDefault="0050741C" w:rsidP="00E34B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41.08</w:t>
            </w:r>
          </w:p>
        </w:tc>
        <w:tc>
          <w:tcPr>
            <w:tcW w:w="1080" w:type="dxa"/>
            <w:noWrap/>
            <w:hideMark/>
          </w:tcPr>
          <w:p w:rsidR="0050741C" w:rsidRPr="0050741C" w:rsidRDefault="0050741C" w:rsidP="00E34B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31.58</w:t>
            </w:r>
          </w:p>
        </w:tc>
        <w:tc>
          <w:tcPr>
            <w:tcW w:w="1080" w:type="dxa"/>
            <w:noWrap/>
            <w:hideMark/>
          </w:tcPr>
          <w:p w:rsidR="0050741C" w:rsidRPr="0050741C" w:rsidRDefault="0050741C" w:rsidP="00E34B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44.64</w:t>
            </w:r>
          </w:p>
        </w:tc>
        <w:tc>
          <w:tcPr>
            <w:tcW w:w="1805" w:type="dxa"/>
            <w:noWrap/>
            <w:hideMark/>
          </w:tcPr>
          <w:p w:rsidR="0050741C" w:rsidRPr="0050741C" w:rsidRDefault="0050741C" w:rsidP="00E34B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42.65</w:t>
            </w:r>
          </w:p>
        </w:tc>
      </w:tr>
      <w:tr w:rsidR="00A60E10" w:rsidRPr="0050741C" w:rsidTr="00A60E1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35" w:type="dxa"/>
            <w:noWrap/>
            <w:hideMark/>
          </w:tcPr>
          <w:p w:rsidR="0050741C" w:rsidRPr="0050741C" w:rsidRDefault="0050741C" w:rsidP="00E34B5B">
            <w:pPr>
              <w:jc w:val="left"/>
              <w:rPr>
                <w:rFonts w:ascii="Calibri" w:eastAsia="Times New Roman" w:hAnsi="Calibri" w:cs="Calibri"/>
                <w:color w:val="000000"/>
                <w:sz w:val="18"/>
                <w:szCs w:val="18"/>
              </w:rPr>
            </w:pPr>
            <w:r w:rsidRPr="0050741C">
              <w:rPr>
                <w:rFonts w:ascii="Calibri" w:eastAsia="Times New Roman" w:hAnsi="Calibri" w:cs="Calibri"/>
                <w:color w:val="000000"/>
                <w:sz w:val="18"/>
                <w:szCs w:val="18"/>
              </w:rPr>
              <w:t>Longitude</w:t>
            </w:r>
          </w:p>
        </w:tc>
        <w:tc>
          <w:tcPr>
            <w:tcW w:w="1080" w:type="dxa"/>
            <w:noWrap/>
            <w:hideMark/>
          </w:tcPr>
          <w:p w:rsidR="0050741C" w:rsidRPr="0050741C" w:rsidRDefault="0050741C" w:rsidP="00E34B5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-99.73</w:t>
            </w:r>
          </w:p>
        </w:tc>
        <w:tc>
          <w:tcPr>
            <w:tcW w:w="990" w:type="dxa"/>
            <w:noWrap/>
            <w:hideMark/>
          </w:tcPr>
          <w:p w:rsidR="0050741C" w:rsidRPr="0050741C" w:rsidRDefault="0050741C" w:rsidP="00E34B5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-81.52</w:t>
            </w:r>
          </w:p>
        </w:tc>
        <w:tc>
          <w:tcPr>
            <w:tcW w:w="1080" w:type="dxa"/>
            <w:noWrap/>
            <w:hideMark/>
          </w:tcPr>
          <w:p w:rsidR="0050741C" w:rsidRPr="0050741C" w:rsidRDefault="0050741C" w:rsidP="00E34B5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-84.16</w:t>
            </w:r>
          </w:p>
        </w:tc>
        <w:tc>
          <w:tcPr>
            <w:tcW w:w="1080" w:type="dxa"/>
            <w:noWrap/>
            <w:hideMark/>
          </w:tcPr>
          <w:p w:rsidR="0050741C" w:rsidRPr="0050741C" w:rsidRDefault="0050741C" w:rsidP="00E34B5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-123.11</w:t>
            </w:r>
          </w:p>
        </w:tc>
        <w:tc>
          <w:tcPr>
            <w:tcW w:w="1805" w:type="dxa"/>
            <w:noWrap/>
            <w:hideMark/>
          </w:tcPr>
          <w:p w:rsidR="0050741C" w:rsidRPr="0050741C" w:rsidRDefault="0050741C" w:rsidP="00E34B5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-73.76</w:t>
            </w:r>
          </w:p>
        </w:tc>
      </w:tr>
      <w:tr w:rsidR="00A60E10" w:rsidRPr="0050741C" w:rsidTr="00A60E10">
        <w:trPr>
          <w:trHeight w:val="300"/>
        </w:trPr>
        <w:tc>
          <w:tcPr>
            <w:cnfStyle w:val="001000000000" w:firstRow="0" w:lastRow="0" w:firstColumn="1" w:lastColumn="0" w:oddVBand="0" w:evenVBand="0" w:oddHBand="0" w:evenHBand="0" w:firstRowFirstColumn="0" w:firstRowLastColumn="0" w:lastRowFirstColumn="0" w:lastRowLastColumn="0"/>
            <w:tcW w:w="3235" w:type="dxa"/>
            <w:noWrap/>
            <w:hideMark/>
          </w:tcPr>
          <w:p w:rsidR="00F16C9E" w:rsidRPr="0050741C" w:rsidRDefault="00F16C9E" w:rsidP="00E34B5B">
            <w:pPr>
              <w:jc w:val="left"/>
              <w:rPr>
                <w:rFonts w:ascii="Calibri" w:eastAsia="Times New Roman" w:hAnsi="Calibri" w:cs="Calibri"/>
                <w:color w:val="000000"/>
                <w:sz w:val="18"/>
                <w:szCs w:val="18"/>
              </w:rPr>
            </w:pPr>
            <w:r w:rsidRPr="0050741C">
              <w:rPr>
                <w:rFonts w:ascii="Calibri" w:eastAsia="Times New Roman" w:hAnsi="Calibri" w:cs="Calibri"/>
                <w:color w:val="000000"/>
                <w:sz w:val="18"/>
                <w:szCs w:val="18"/>
              </w:rPr>
              <w:t>BrewDensity</w:t>
            </w:r>
          </w:p>
        </w:tc>
        <w:tc>
          <w:tcPr>
            <w:tcW w:w="1080" w:type="dxa"/>
            <w:noWrap/>
            <w:hideMark/>
          </w:tcPr>
          <w:p w:rsidR="00F16C9E" w:rsidRPr="0050741C" w:rsidRDefault="00F16C9E" w:rsidP="00E34B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5.87</w:t>
            </w:r>
          </w:p>
        </w:tc>
        <w:tc>
          <w:tcPr>
            <w:tcW w:w="990" w:type="dxa"/>
            <w:noWrap/>
            <w:hideMark/>
          </w:tcPr>
          <w:p w:rsidR="00F16C9E" w:rsidRPr="0050741C" w:rsidRDefault="00F16C9E" w:rsidP="00E34B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5.26</w:t>
            </w:r>
          </w:p>
        </w:tc>
        <w:tc>
          <w:tcPr>
            <w:tcW w:w="1080" w:type="dxa"/>
            <w:noWrap/>
            <w:hideMark/>
          </w:tcPr>
          <w:p w:rsidR="00F16C9E" w:rsidRPr="0050741C" w:rsidRDefault="00F16C9E" w:rsidP="00E34B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1.32</w:t>
            </w:r>
          </w:p>
        </w:tc>
        <w:tc>
          <w:tcPr>
            <w:tcW w:w="1080" w:type="dxa"/>
            <w:noWrap/>
            <w:hideMark/>
          </w:tcPr>
          <w:p w:rsidR="00F16C9E" w:rsidRPr="0050741C" w:rsidRDefault="00F16C9E" w:rsidP="00E34B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12.8</w:t>
            </w:r>
          </w:p>
        </w:tc>
        <w:tc>
          <w:tcPr>
            <w:tcW w:w="1805" w:type="dxa"/>
            <w:noWrap/>
            <w:hideMark/>
          </w:tcPr>
          <w:p w:rsidR="00F16C9E" w:rsidRPr="0050741C" w:rsidRDefault="00F16C9E" w:rsidP="00E34B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3.27</w:t>
            </w:r>
          </w:p>
        </w:tc>
      </w:tr>
      <w:tr w:rsidR="00A60E10" w:rsidRPr="0050741C" w:rsidTr="00A60E1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35" w:type="dxa"/>
            <w:noWrap/>
            <w:hideMark/>
          </w:tcPr>
          <w:p w:rsidR="00F16C9E" w:rsidRPr="0050741C" w:rsidRDefault="00F16C9E" w:rsidP="00E34B5B">
            <w:pPr>
              <w:jc w:val="left"/>
              <w:rPr>
                <w:rFonts w:ascii="Calibri" w:eastAsia="Times New Roman" w:hAnsi="Calibri" w:cs="Calibri"/>
                <w:color w:val="000000"/>
                <w:sz w:val="18"/>
                <w:szCs w:val="18"/>
              </w:rPr>
            </w:pPr>
            <w:r w:rsidRPr="0050741C">
              <w:rPr>
                <w:rFonts w:ascii="Calibri" w:eastAsia="Times New Roman" w:hAnsi="Calibri" w:cs="Calibri"/>
                <w:color w:val="000000"/>
                <w:sz w:val="18"/>
                <w:szCs w:val="18"/>
              </w:rPr>
              <w:t>BrewDensityLand</w:t>
            </w:r>
          </w:p>
        </w:tc>
        <w:tc>
          <w:tcPr>
            <w:tcW w:w="1080" w:type="dxa"/>
            <w:noWrap/>
            <w:hideMark/>
          </w:tcPr>
          <w:p w:rsidR="00F16C9E" w:rsidRPr="0050741C" w:rsidRDefault="00F16C9E" w:rsidP="00E34B5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0.36</w:t>
            </w:r>
          </w:p>
        </w:tc>
        <w:tc>
          <w:tcPr>
            <w:tcW w:w="990" w:type="dxa"/>
            <w:noWrap/>
            <w:hideMark/>
          </w:tcPr>
          <w:p w:rsidR="00F16C9E" w:rsidRPr="0050741C" w:rsidRDefault="00F16C9E" w:rsidP="00E34B5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4.11</w:t>
            </w:r>
          </w:p>
        </w:tc>
        <w:tc>
          <w:tcPr>
            <w:tcW w:w="1080" w:type="dxa"/>
            <w:noWrap/>
            <w:hideMark/>
          </w:tcPr>
          <w:p w:rsidR="00F16C9E" w:rsidRPr="0050741C" w:rsidRDefault="00F16C9E" w:rsidP="00E34B5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0.1</w:t>
            </w:r>
          </w:p>
        </w:tc>
        <w:tc>
          <w:tcPr>
            <w:tcW w:w="1080" w:type="dxa"/>
            <w:noWrap/>
            <w:hideMark/>
          </w:tcPr>
          <w:p w:rsidR="00F16C9E" w:rsidRPr="0050741C" w:rsidRDefault="00F16C9E" w:rsidP="00E34B5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0.7</w:t>
            </w:r>
          </w:p>
        </w:tc>
        <w:tc>
          <w:tcPr>
            <w:tcW w:w="1805" w:type="dxa"/>
            <w:noWrap/>
            <w:hideMark/>
          </w:tcPr>
          <w:p w:rsidR="00F16C9E" w:rsidRPr="0050741C" w:rsidRDefault="00F16C9E" w:rsidP="00E34B5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1.03</w:t>
            </w:r>
          </w:p>
        </w:tc>
      </w:tr>
      <w:tr w:rsidR="00A60E10" w:rsidRPr="0050741C" w:rsidTr="00A60E10">
        <w:trPr>
          <w:trHeight w:val="300"/>
        </w:trPr>
        <w:tc>
          <w:tcPr>
            <w:cnfStyle w:val="001000000000" w:firstRow="0" w:lastRow="0" w:firstColumn="1" w:lastColumn="0" w:oddVBand="0" w:evenVBand="0" w:oddHBand="0" w:evenHBand="0" w:firstRowFirstColumn="0" w:firstRowLastColumn="0" w:lastRowFirstColumn="0" w:lastRowLastColumn="0"/>
            <w:tcW w:w="3235" w:type="dxa"/>
            <w:noWrap/>
            <w:hideMark/>
          </w:tcPr>
          <w:p w:rsidR="0050741C" w:rsidRPr="0050741C" w:rsidRDefault="0050741C" w:rsidP="00E34B5B">
            <w:pPr>
              <w:jc w:val="left"/>
              <w:rPr>
                <w:rFonts w:ascii="Calibri" w:eastAsia="Times New Roman" w:hAnsi="Calibri" w:cs="Calibri"/>
                <w:color w:val="000000"/>
                <w:sz w:val="18"/>
                <w:szCs w:val="18"/>
              </w:rPr>
            </w:pPr>
            <w:r w:rsidRPr="0050741C">
              <w:rPr>
                <w:rFonts w:ascii="Calibri" w:eastAsia="Times New Roman" w:hAnsi="Calibri" w:cs="Calibri"/>
                <w:color w:val="000000"/>
                <w:sz w:val="18"/>
                <w:szCs w:val="18"/>
              </w:rPr>
              <w:t>BarsDensity</w:t>
            </w:r>
          </w:p>
        </w:tc>
        <w:tc>
          <w:tcPr>
            <w:tcW w:w="1080" w:type="dxa"/>
            <w:noWrap/>
            <w:hideMark/>
          </w:tcPr>
          <w:p w:rsidR="0050741C" w:rsidRPr="0050741C" w:rsidRDefault="0050741C" w:rsidP="00E34B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18.8</w:t>
            </w:r>
          </w:p>
        </w:tc>
        <w:tc>
          <w:tcPr>
            <w:tcW w:w="990" w:type="dxa"/>
            <w:noWrap/>
            <w:hideMark/>
          </w:tcPr>
          <w:p w:rsidR="0050741C" w:rsidRPr="0050741C" w:rsidRDefault="0050741C" w:rsidP="00E34B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7.11</w:t>
            </w:r>
          </w:p>
        </w:tc>
        <w:tc>
          <w:tcPr>
            <w:tcW w:w="1080" w:type="dxa"/>
            <w:noWrap/>
            <w:hideMark/>
          </w:tcPr>
          <w:p w:rsidR="0050741C" w:rsidRPr="0050741C" w:rsidRDefault="0050741C" w:rsidP="00E34B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15.85</w:t>
            </w:r>
          </w:p>
        </w:tc>
        <w:tc>
          <w:tcPr>
            <w:tcW w:w="1080" w:type="dxa"/>
            <w:noWrap/>
            <w:hideMark/>
          </w:tcPr>
          <w:p w:rsidR="0050741C" w:rsidRPr="0050741C" w:rsidRDefault="0050741C" w:rsidP="00E34B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30.39</w:t>
            </w:r>
          </w:p>
        </w:tc>
        <w:tc>
          <w:tcPr>
            <w:tcW w:w="1805" w:type="dxa"/>
            <w:noWrap/>
            <w:hideMark/>
          </w:tcPr>
          <w:p w:rsidR="0050741C" w:rsidRPr="0050741C" w:rsidRDefault="0050741C" w:rsidP="00E34B5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5.64</w:t>
            </w:r>
          </w:p>
        </w:tc>
      </w:tr>
      <w:tr w:rsidR="00A60E10" w:rsidRPr="0050741C" w:rsidTr="00A60E1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35" w:type="dxa"/>
            <w:noWrap/>
            <w:hideMark/>
          </w:tcPr>
          <w:p w:rsidR="0050741C" w:rsidRPr="0050741C" w:rsidRDefault="0050741C" w:rsidP="00E34B5B">
            <w:pPr>
              <w:jc w:val="left"/>
              <w:rPr>
                <w:rFonts w:ascii="Calibri" w:eastAsia="Times New Roman" w:hAnsi="Calibri" w:cs="Calibri"/>
                <w:color w:val="000000"/>
                <w:sz w:val="18"/>
                <w:szCs w:val="18"/>
              </w:rPr>
            </w:pPr>
            <w:r w:rsidRPr="0050741C">
              <w:rPr>
                <w:rFonts w:ascii="Calibri" w:eastAsia="Times New Roman" w:hAnsi="Calibri" w:cs="Calibri"/>
                <w:color w:val="000000"/>
                <w:sz w:val="18"/>
                <w:szCs w:val="18"/>
              </w:rPr>
              <w:t>BarsDensityLand</w:t>
            </w:r>
          </w:p>
        </w:tc>
        <w:tc>
          <w:tcPr>
            <w:tcW w:w="1080" w:type="dxa"/>
            <w:noWrap/>
            <w:hideMark/>
          </w:tcPr>
          <w:p w:rsidR="0050741C" w:rsidRPr="0050741C" w:rsidRDefault="0050741C" w:rsidP="00E34B5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1.17</w:t>
            </w:r>
          </w:p>
        </w:tc>
        <w:tc>
          <w:tcPr>
            <w:tcW w:w="990" w:type="dxa"/>
            <w:noWrap/>
            <w:hideMark/>
          </w:tcPr>
          <w:p w:rsidR="0050741C" w:rsidRPr="0050741C" w:rsidRDefault="0050741C" w:rsidP="00E34B5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5.55</w:t>
            </w:r>
          </w:p>
        </w:tc>
        <w:tc>
          <w:tcPr>
            <w:tcW w:w="1080" w:type="dxa"/>
            <w:noWrap/>
            <w:hideMark/>
          </w:tcPr>
          <w:p w:rsidR="0050741C" w:rsidRPr="0050741C" w:rsidRDefault="0050741C" w:rsidP="00E34B5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1.24</w:t>
            </w:r>
          </w:p>
        </w:tc>
        <w:tc>
          <w:tcPr>
            <w:tcW w:w="1080" w:type="dxa"/>
            <w:noWrap/>
            <w:hideMark/>
          </w:tcPr>
          <w:p w:rsidR="0050741C" w:rsidRPr="0050741C" w:rsidRDefault="0050741C" w:rsidP="00E34B5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1.66</w:t>
            </w:r>
          </w:p>
        </w:tc>
        <w:tc>
          <w:tcPr>
            <w:tcW w:w="1805" w:type="dxa"/>
            <w:noWrap/>
            <w:hideMark/>
          </w:tcPr>
          <w:p w:rsidR="0050741C" w:rsidRPr="0050741C" w:rsidRDefault="0050741C" w:rsidP="00E34B5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1.78</w:t>
            </w:r>
          </w:p>
        </w:tc>
      </w:tr>
      <w:tr w:rsidR="0050741C" w:rsidRPr="0050741C" w:rsidTr="00A60E10">
        <w:trPr>
          <w:trHeight w:val="300"/>
        </w:trPr>
        <w:tc>
          <w:tcPr>
            <w:cnfStyle w:val="001000000000" w:firstRow="0" w:lastRow="0" w:firstColumn="1" w:lastColumn="0" w:oddVBand="0" w:evenVBand="0" w:oddHBand="0" w:evenHBand="0" w:firstRowFirstColumn="0" w:firstRowLastColumn="0" w:lastRowFirstColumn="0" w:lastRowLastColumn="0"/>
            <w:tcW w:w="3235" w:type="dxa"/>
            <w:noWrap/>
            <w:hideMark/>
          </w:tcPr>
          <w:p w:rsidR="0050741C" w:rsidRPr="0050741C" w:rsidRDefault="0050741C" w:rsidP="0050741C">
            <w:pPr>
              <w:jc w:val="left"/>
              <w:rPr>
                <w:rFonts w:ascii="Calibri" w:eastAsia="Times New Roman" w:hAnsi="Calibri" w:cs="Calibri"/>
                <w:color w:val="000000"/>
                <w:sz w:val="18"/>
                <w:szCs w:val="18"/>
              </w:rPr>
            </w:pPr>
            <w:r w:rsidRPr="0050741C">
              <w:rPr>
                <w:rFonts w:ascii="Calibri" w:eastAsia="Times New Roman" w:hAnsi="Calibri" w:cs="Calibri"/>
                <w:color w:val="000000"/>
                <w:sz w:val="18"/>
                <w:szCs w:val="18"/>
              </w:rPr>
              <w:t>Per capita personal income</w:t>
            </w:r>
          </w:p>
        </w:tc>
        <w:tc>
          <w:tcPr>
            <w:tcW w:w="1080" w:type="dxa"/>
            <w:noWrap/>
            <w:hideMark/>
          </w:tcPr>
          <w:p w:rsidR="0050741C" w:rsidRPr="0050741C" w:rsidRDefault="0050741C" w:rsidP="0050741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41326</w:t>
            </w:r>
          </w:p>
        </w:tc>
        <w:tc>
          <w:tcPr>
            <w:tcW w:w="990" w:type="dxa"/>
            <w:noWrap/>
            <w:hideMark/>
          </w:tcPr>
          <w:p w:rsidR="0050741C" w:rsidRPr="0050741C" w:rsidRDefault="0050741C" w:rsidP="0050741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47511</w:t>
            </w:r>
          </w:p>
        </w:tc>
        <w:tc>
          <w:tcPr>
            <w:tcW w:w="1080" w:type="dxa"/>
            <w:noWrap/>
            <w:hideMark/>
          </w:tcPr>
          <w:p w:rsidR="0050741C" w:rsidRPr="0050741C" w:rsidRDefault="0050741C" w:rsidP="0050741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36805</w:t>
            </w:r>
          </w:p>
        </w:tc>
        <w:tc>
          <w:tcPr>
            <w:tcW w:w="1080" w:type="dxa"/>
            <w:noWrap/>
            <w:hideMark/>
          </w:tcPr>
          <w:p w:rsidR="0050741C" w:rsidRPr="0050741C" w:rsidRDefault="0050741C" w:rsidP="0050741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40380</w:t>
            </w:r>
          </w:p>
        </w:tc>
        <w:tc>
          <w:tcPr>
            <w:tcW w:w="1805" w:type="dxa"/>
            <w:noWrap/>
            <w:hideMark/>
          </w:tcPr>
          <w:p w:rsidR="0050741C" w:rsidRPr="0050741C" w:rsidRDefault="0050741C" w:rsidP="0050741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55848</w:t>
            </w:r>
          </w:p>
        </w:tc>
      </w:tr>
      <w:tr w:rsidR="00A60E10" w:rsidRPr="0050741C" w:rsidTr="00A60E1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35" w:type="dxa"/>
            <w:noWrap/>
            <w:hideMark/>
          </w:tcPr>
          <w:p w:rsidR="0050741C" w:rsidRPr="0050741C" w:rsidRDefault="0050741C" w:rsidP="0050741C">
            <w:pPr>
              <w:jc w:val="left"/>
              <w:rPr>
                <w:rFonts w:ascii="Calibri" w:eastAsia="Times New Roman" w:hAnsi="Calibri" w:cs="Calibri"/>
                <w:color w:val="000000"/>
                <w:sz w:val="18"/>
                <w:szCs w:val="18"/>
              </w:rPr>
            </w:pPr>
            <w:r w:rsidRPr="0050741C">
              <w:rPr>
                <w:rFonts w:ascii="Calibri" w:eastAsia="Times New Roman" w:hAnsi="Calibri" w:cs="Calibri"/>
                <w:color w:val="000000"/>
                <w:sz w:val="18"/>
                <w:szCs w:val="18"/>
              </w:rPr>
              <w:t>Total employment (number of jobs)</w:t>
            </w:r>
          </w:p>
        </w:tc>
        <w:tc>
          <w:tcPr>
            <w:tcW w:w="1080" w:type="dxa"/>
            <w:noWrap/>
            <w:hideMark/>
          </w:tcPr>
          <w:p w:rsidR="0050741C" w:rsidRPr="0050741C" w:rsidRDefault="0050741C" w:rsidP="0050741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103969</w:t>
            </w:r>
          </w:p>
        </w:tc>
        <w:tc>
          <w:tcPr>
            <w:tcW w:w="990" w:type="dxa"/>
            <w:noWrap/>
            <w:hideMark/>
          </w:tcPr>
          <w:p w:rsidR="0050741C" w:rsidRPr="0050741C" w:rsidRDefault="0050741C" w:rsidP="0050741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429591</w:t>
            </w:r>
          </w:p>
        </w:tc>
        <w:tc>
          <w:tcPr>
            <w:tcW w:w="1080" w:type="dxa"/>
            <w:noWrap/>
            <w:hideMark/>
          </w:tcPr>
          <w:p w:rsidR="0050741C" w:rsidRPr="0050741C" w:rsidRDefault="0050741C" w:rsidP="0050741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83727</w:t>
            </w:r>
          </w:p>
        </w:tc>
        <w:tc>
          <w:tcPr>
            <w:tcW w:w="1080" w:type="dxa"/>
            <w:noWrap/>
            <w:hideMark/>
          </w:tcPr>
          <w:p w:rsidR="0050741C" w:rsidRPr="0050741C" w:rsidRDefault="0050741C" w:rsidP="0050741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60760</w:t>
            </w:r>
          </w:p>
        </w:tc>
        <w:tc>
          <w:tcPr>
            <w:tcW w:w="1805" w:type="dxa"/>
            <w:noWrap/>
            <w:hideMark/>
          </w:tcPr>
          <w:p w:rsidR="0050741C" w:rsidRPr="0050741C" w:rsidRDefault="0050741C" w:rsidP="0050741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569738</w:t>
            </w:r>
          </w:p>
        </w:tc>
      </w:tr>
      <w:tr w:rsidR="0050741C" w:rsidRPr="0050741C" w:rsidTr="00A60E10">
        <w:trPr>
          <w:trHeight w:val="300"/>
        </w:trPr>
        <w:tc>
          <w:tcPr>
            <w:cnfStyle w:val="001000000000" w:firstRow="0" w:lastRow="0" w:firstColumn="1" w:lastColumn="0" w:oddVBand="0" w:evenVBand="0" w:oddHBand="0" w:evenHBand="0" w:firstRowFirstColumn="0" w:firstRowLastColumn="0" w:lastRowFirstColumn="0" w:lastRowLastColumn="0"/>
            <w:tcW w:w="3235" w:type="dxa"/>
            <w:noWrap/>
            <w:hideMark/>
          </w:tcPr>
          <w:p w:rsidR="0050741C" w:rsidRPr="0050741C" w:rsidRDefault="0050741C" w:rsidP="0050741C">
            <w:pPr>
              <w:jc w:val="left"/>
              <w:rPr>
                <w:rFonts w:ascii="Calibri" w:eastAsia="Times New Roman" w:hAnsi="Calibri" w:cs="Calibri"/>
                <w:color w:val="000000"/>
                <w:sz w:val="18"/>
                <w:szCs w:val="18"/>
              </w:rPr>
            </w:pPr>
            <w:r w:rsidRPr="0050741C">
              <w:rPr>
                <w:rFonts w:ascii="Calibri" w:eastAsia="Times New Roman" w:hAnsi="Calibri" w:cs="Calibri"/>
                <w:color w:val="000000"/>
                <w:sz w:val="18"/>
                <w:szCs w:val="18"/>
              </w:rPr>
              <w:t>Jobs-Population Ratio</w:t>
            </w:r>
          </w:p>
        </w:tc>
        <w:tc>
          <w:tcPr>
            <w:tcW w:w="1080" w:type="dxa"/>
            <w:noWrap/>
            <w:hideMark/>
          </w:tcPr>
          <w:p w:rsidR="0050741C" w:rsidRPr="0050741C" w:rsidRDefault="0050741C" w:rsidP="0050741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0.61</w:t>
            </w:r>
          </w:p>
        </w:tc>
        <w:tc>
          <w:tcPr>
            <w:tcW w:w="990" w:type="dxa"/>
            <w:noWrap/>
            <w:hideMark/>
          </w:tcPr>
          <w:p w:rsidR="0050741C" w:rsidRPr="0050741C" w:rsidRDefault="0050741C" w:rsidP="0050741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0.61</w:t>
            </w:r>
          </w:p>
        </w:tc>
        <w:tc>
          <w:tcPr>
            <w:tcW w:w="1080" w:type="dxa"/>
            <w:noWrap/>
            <w:hideMark/>
          </w:tcPr>
          <w:p w:rsidR="0050741C" w:rsidRPr="0050741C" w:rsidRDefault="0050741C" w:rsidP="0050741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0.55</w:t>
            </w:r>
          </w:p>
        </w:tc>
        <w:tc>
          <w:tcPr>
            <w:tcW w:w="1080" w:type="dxa"/>
            <w:noWrap/>
            <w:hideMark/>
          </w:tcPr>
          <w:p w:rsidR="0050741C" w:rsidRPr="0050741C" w:rsidRDefault="0050741C" w:rsidP="0050741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0.49</w:t>
            </w:r>
          </w:p>
        </w:tc>
        <w:tc>
          <w:tcPr>
            <w:tcW w:w="1805" w:type="dxa"/>
            <w:noWrap/>
            <w:hideMark/>
          </w:tcPr>
          <w:p w:rsidR="0050741C" w:rsidRPr="0050741C" w:rsidRDefault="0050741C" w:rsidP="0050741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0.64</w:t>
            </w:r>
          </w:p>
        </w:tc>
      </w:tr>
      <w:tr w:rsidR="00A60E10" w:rsidRPr="0050741C" w:rsidTr="00A60E1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35" w:type="dxa"/>
            <w:noWrap/>
            <w:hideMark/>
          </w:tcPr>
          <w:p w:rsidR="0050741C" w:rsidRPr="0050741C" w:rsidRDefault="00F16C9E" w:rsidP="00F16C9E">
            <w:pPr>
              <w:jc w:val="left"/>
              <w:rPr>
                <w:rFonts w:ascii="Calibri" w:eastAsia="Times New Roman" w:hAnsi="Calibri" w:cs="Calibri"/>
                <w:color w:val="000000"/>
                <w:sz w:val="18"/>
                <w:szCs w:val="18"/>
              </w:rPr>
            </w:pPr>
            <w:r>
              <w:rPr>
                <w:rFonts w:ascii="Calibri" w:eastAsia="Times New Roman" w:hAnsi="Calibri" w:cs="Calibri"/>
                <w:color w:val="000000"/>
                <w:sz w:val="18"/>
                <w:szCs w:val="18"/>
              </w:rPr>
              <w:t>%</w:t>
            </w:r>
            <w:r w:rsidR="0050741C" w:rsidRPr="0050741C">
              <w:rPr>
                <w:rFonts w:ascii="Calibri" w:eastAsia="Times New Roman" w:hAnsi="Calibri" w:cs="Calibri"/>
                <w:color w:val="000000"/>
                <w:sz w:val="18"/>
                <w:szCs w:val="18"/>
              </w:rPr>
              <w:t xml:space="preserve"> </w:t>
            </w:r>
            <w:r w:rsidRPr="0050741C">
              <w:rPr>
                <w:rFonts w:ascii="Calibri" w:eastAsia="Times New Roman" w:hAnsi="Calibri" w:cs="Calibri"/>
                <w:color w:val="000000"/>
                <w:sz w:val="18"/>
                <w:szCs w:val="18"/>
              </w:rPr>
              <w:t>25</w:t>
            </w:r>
            <w:r>
              <w:rPr>
                <w:rFonts w:ascii="Calibri" w:eastAsia="Times New Roman" w:hAnsi="Calibri" w:cs="Calibri"/>
                <w:color w:val="000000"/>
                <w:sz w:val="18"/>
                <w:szCs w:val="18"/>
              </w:rPr>
              <w:t xml:space="preserve">+ </w:t>
            </w:r>
            <w:r w:rsidR="00A60E10">
              <w:rPr>
                <w:rFonts w:ascii="Calibri" w:eastAsia="Times New Roman" w:hAnsi="Calibri" w:cs="Calibri"/>
                <w:color w:val="000000"/>
                <w:sz w:val="18"/>
                <w:szCs w:val="18"/>
              </w:rPr>
              <w:t>pop</w:t>
            </w:r>
            <w:r w:rsidR="0050741C" w:rsidRPr="0050741C">
              <w:rPr>
                <w:rFonts w:ascii="Calibri" w:eastAsia="Times New Roman" w:hAnsi="Calibri" w:cs="Calibri"/>
                <w:color w:val="000000"/>
                <w:sz w:val="18"/>
                <w:szCs w:val="18"/>
              </w:rPr>
              <w:t xml:space="preserve"> wi</w:t>
            </w:r>
            <w:r>
              <w:rPr>
                <w:rFonts w:ascii="Calibri" w:eastAsia="Times New Roman" w:hAnsi="Calibri" w:cs="Calibri"/>
                <w:color w:val="000000"/>
                <w:sz w:val="18"/>
                <w:szCs w:val="18"/>
              </w:rPr>
              <w:t>th Bachelor's or more</w:t>
            </w:r>
          </w:p>
        </w:tc>
        <w:tc>
          <w:tcPr>
            <w:tcW w:w="1080" w:type="dxa"/>
            <w:noWrap/>
            <w:hideMark/>
          </w:tcPr>
          <w:p w:rsidR="0050741C" w:rsidRPr="0050741C" w:rsidRDefault="0050741C" w:rsidP="0050741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21.5</w:t>
            </w:r>
          </w:p>
        </w:tc>
        <w:tc>
          <w:tcPr>
            <w:tcW w:w="990" w:type="dxa"/>
            <w:noWrap/>
            <w:hideMark/>
          </w:tcPr>
          <w:p w:rsidR="0050741C" w:rsidRPr="0050741C" w:rsidRDefault="0050741C" w:rsidP="0050741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30.8</w:t>
            </w:r>
          </w:p>
        </w:tc>
        <w:tc>
          <w:tcPr>
            <w:tcW w:w="1080" w:type="dxa"/>
            <w:noWrap/>
            <w:hideMark/>
          </w:tcPr>
          <w:p w:rsidR="0050741C" w:rsidRPr="0050741C" w:rsidRDefault="0050741C" w:rsidP="0050741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19.5</w:t>
            </w:r>
          </w:p>
        </w:tc>
        <w:tc>
          <w:tcPr>
            <w:tcW w:w="1080" w:type="dxa"/>
            <w:noWrap/>
            <w:hideMark/>
          </w:tcPr>
          <w:p w:rsidR="0050741C" w:rsidRPr="0050741C" w:rsidRDefault="0050741C" w:rsidP="0050741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18.6</w:t>
            </w:r>
          </w:p>
        </w:tc>
        <w:tc>
          <w:tcPr>
            <w:tcW w:w="1805" w:type="dxa"/>
            <w:noWrap/>
            <w:hideMark/>
          </w:tcPr>
          <w:p w:rsidR="0050741C" w:rsidRPr="0050741C" w:rsidRDefault="0050741C" w:rsidP="0050741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36.2</w:t>
            </w:r>
          </w:p>
        </w:tc>
      </w:tr>
      <w:tr w:rsidR="0050741C" w:rsidRPr="0050741C" w:rsidTr="00A60E10">
        <w:trPr>
          <w:trHeight w:val="300"/>
        </w:trPr>
        <w:tc>
          <w:tcPr>
            <w:cnfStyle w:val="001000000000" w:firstRow="0" w:lastRow="0" w:firstColumn="1" w:lastColumn="0" w:oddVBand="0" w:evenVBand="0" w:oddHBand="0" w:evenHBand="0" w:firstRowFirstColumn="0" w:firstRowLastColumn="0" w:lastRowFirstColumn="0" w:lastRowLastColumn="0"/>
            <w:tcW w:w="3235" w:type="dxa"/>
            <w:noWrap/>
            <w:hideMark/>
          </w:tcPr>
          <w:p w:rsidR="0050741C" w:rsidRPr="0050741C" w:rsidRDefault="0050741C" w:rsidP="0050741C">
            <w:pPr>
              <w:jc w:val="left"/>
              <w:rPr>
                <w:rFonts w:ascii="Calibri" w:eastAsia="Times New Roman" w:hAnsi="Calibri" w:cs="Calibri"/>
                <w:color w:val="000000"/>
                <w:sz w:val="18"/>
                <w:szCs w:val="18"/>
              </w:rPr>
            </w:pPr>
            <w:r w:rsidRPr="0050741C">
              <w:rPr>
                <w:rFonts w:ascii="Calibri" w:eastAsia="Times New Roman" w:hAnsi="Calibri" w:cs="Calibri"/>
                <w:color w:val="000000"/>
                <w:sz w:val="18"/>
                <w:szCs w:val="18"/>
              </w:rPr>
              <w:t>PopDensity</w:t>
            </w:r>
          </w:p>
        </w:tc>
        <w:tc>
          <w:tcPr>
            <w:tcW w:w="1080" w:type="dxa"/>
            <w:noWrap/>
            <w:hideMark/>
          </w:tcPr>
          <w:p w:rsidR="0050741C" w:rsidRPr="0050741C" w:rsidRDefault="0050741C" w:rsidP="0050741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60.23</w:t>
            </w:r>
          </w:p>
        </w:tc>
        <w:tc>
          <w:tcPr>
            <w:tcW w:w="990" w:type="dxa"/>
            <w:noWrap/>
            <w:hideMark/>
          </w:tcPr>
          <w:p w:rsidR="0050741C" w:rsidRPr="0050741C" w:rsidRDefault="0050741C" w:rsidP="0050741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781.22</w:t>
            </w:r>
          </w:p>
        </w:tc>
        <w:tc>
          <w:tcPr>
            <w:tcW w:w="1080" w:type="dxa"/>
            <w:noWrap/>
            <w:hideMark/>
          </w:tcPr>
          <w:p w:rsidR="0050741C" w:rsidRPr="0050741C" w:rsidRDefault="0050741C" w:rsidP="0050741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81.4</w:t>
            </w:r>
          </w:p>
        </w:tc>
        <w:tc>
          <w:tcPr>
            <w:tcW w:w="1080" w:type="dxa"/>
            <w:noWrap/>
            <w:hideMark/>
          </w:tcPr>
          <w:p w:rsidR="0050741C" w:rsidRPr="0050741C" w:rsidRDefault="0050741C" w:rsidP="0050741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50.95</w:t>
            </w:r>
          </w:p>
        </w:tc>
        <w:tc>
          <w:tcPr>
            <w:tcW w:w="1805" w:type="dxa"/>
            <w:noWrap/>
            <w:hideMark/>
          </w:tcPr>
          <w:p w:rsidR="0050741C" w:rsidRPr="0050741C" w:rsidRDefault="0050741C" w:rsidP="0050741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309.69</w:t>
            </w:r>
          </w:p>
        </w:tc>
      </w:tr>
      <w:tr w:rsidR="00A60E10" w:rsidRPr="0050741C" w:rsidTr="00A60E1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35" w:type="dxa"/>
            <w:noWrap/>
            <w:hideMark/>
          </w:tcPr>
          <w:p w:rsidR="0050741C" w:rsidRPr="0050741C" w:rsidRDefault="0050741C" w:rsidP="0050741C">
            <w:pPr>
              <w:jc w:val="left"/>
              <w:rPr>
                <w:rFonts w:ascii="Calibri" w:eastAsia="Times New Roman" w:hAnsi="Calibri" w:cs="Calibri"/>
                <w:color w:val="000000"/>
                <w:sz w:val="18"/>
                <w:szCs w:val="18"/>
              </w:rPr>
            </w:pPr>
            <w:r w:rsidRPr="0050741C">
              <w:rPr>
                <w:rFonts w:ascii="Calibri" w:eastAsia="Times New Roman" w:hAnsi="Calibri" w:cs="Calibri"/>
                <w:color w:val="000000"/>
                <w:sz w:val="18"/>
                <w:szCs w:val="18"/>
              </w:rPr>
              <w:t>HousingDensity</w:t>
            </w:r>
          </w:p>
        </w:tc>
        <w:tc>
          <w:tcPr>
            <w:tcW w:w="1080" w:type="dxa"/>
            <w:noWrap/>
            <w:hideMark/>
          </w:tcPr>
          <w:p w:rsidR="0050741C" w:rsidRPr="0050741C" w:rsidRDefault="0050741C" w:rsidP="0050741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25.41</w:t>
            </w:r>
          </w:p>
        </w:tc>
        <w:tc>
          <w:tcPr>
            <w:tcW w:w="990" w:type="dxa"/>
            <w:noWrap/>
            <w:hideMark/>
          </w:tcPr>
          <w:p w:rsidR="0050741C" w:rsidRPr="0050741C" w:rsidRDefault="0050741C" w:rsidP="0050741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347.26</w:t>
            </w:r>
          </w:p>
        </w:tc>
        <w:tc>
          <w:tcPr>
            <w:tcW w:w="1080" w:type="dxa"/>
            <w:noWrap/>
            <w:hideMark/>
          </w:tcPr>
          <w:p w:rsidR="0050741C" w:rsidRPr="0050741C" w:rsidRDefault="0050741C" w:rsidP="0050741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34.18</w:t>
            </w:r>
          </w:p>
        </w:tc>
        <w:tc>
          <w:tcPr>
            <w:tcW w:w="1080" w:type="dxa"/>
            <w:noWrap/>
            <w:hideMark/>
          </w:tcPr>
          <w:p w:rsidR="0050741C" w:rsidRPr="0050741C" w:rsidRDefault="0050741C" w:rsidP="0050741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21.32</w:t>
            </w:r>
          </w:p>
        </w:tc>
        <w:tc>
          <w:tcPr>
            <w:tcW w:w="1805" w:type="dxa"/>
            <w:noWrap/>
            <w:hideMark/>
          </w:tcPr>
          <w:p w:rsidR="0050741C" w:rsidRPr="0050741C" w:rsidRDefault="0050741C" w:rsidP="0050741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139.89</w:t>
            </w:r>
          </w:p>
        </w:tc>
      </w:tr>
      <w:tr w:rsidR="0050741C" w:rsidRPr="0050741C" w:rsidTr="00A60E10">
        <w:trPr>
          <w:trHeight w:val="300"/>
        </w:trPr>
        <w:tc>
          <w:tcPr>
            <w:cnfStyle w:val="001000000000" w:firstRow="0" w:lastRow="0" w:firstColumn="1" w:lastColumn="0" w:oddVBand="0" w:evenVBand="0" w:oddHBand="0" w:evenHBand="0" w:firstRowFirstColumn="0" w:firstRowLastColumn="0" w:lastRowFirstColumn="0" w:lastRowLastColumn="0"/>
            <w:tcW w:w="3235" w:type="dxa"/>
            <w:noWrap/>
            <w:hideMark/>
          </w:tcPr>
          <w:p w:rsidR="0050741C" w:rsidRPr="0050741C" w:rsidRDefault="0050741C" w:rsidP="0050741C">
            <w:pPr>
              <w:jc w:val="left"/>
              <w:rPr>
                <w:rFonts w:ascii="Calibri" w:eastAsia="Times New Roman" w:hAnsi="Calibri" w:cs="Calibri"/>
                <w:color w:val="000000"/>
                <w:sz w:val="18"/>
                <w:szCs w:val="18"/>
              </w:rPr>
            </w:pPr>
            <w:r w:rsidRPr="0050741C">
              <w:rPr>
                <w:rFonts w:ascii="Calibri" w:eastAsia="Times New Roman" w:hAnsi="Calibri" w:cs="Calibri"/>
                <w:color w:val="000000"/>
                <w:sz w:val="18"/>
                <w:szCs w:val="18"/>
              </w:rPr>
              <w:t>PercentFemale</w:t>
            </w:r>
          </w:p>
        </w:tc>
        <w:tc>
          <w:tcPr>
            <w:tcW w:w="1080" w:type="dxa"/>
            <w:noWrap/>
            <w:hideMark/>
          </w:tcPr>
          <w:p w:rsidR="0050741C" w:rsidRPr="0050741C" w:rsidRDefault="0050741C" w:rsidP="0050741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49.37</w:t>
            </w:r>
          </w:p>
        </w:tc>
        <w:tc>
          <w:tcPr>
            <w:tcW w:w="990" w:type="dxa"/>
            <w:noWrap/>
            <w:hideMark/>
          </w:tcPr>
          <w:p w:rsidR="0050741C" w:rsidRPr="0050741C" w:rsidRDefault="0050741C" w:rsidP="0050741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51.41</w:t>
            </w:r>
          </w:p>
        </w:tc>
        <w:tc>
          <w:tcPr>
            <w:tcW w:w="1080" w:type="dxa"/>
            <w:noWrap/>
            <w:hideMark/>
          </w:tcPr>
          <w:p w:rsidR="0050741C" w:rsidRPr="0050741C" w:rsidRDefault="0050741C" w:rsidP="0050741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52.63</w:t>
            </w:r>
          </w:p>
        </w:tc>
        <w:tc>
          <w:tcPr>
            <w:tcW w:w="1080" w:type="dxa"/>
            <w:noWrap/>
            <w:hideMark/>
          </w:tcPr>
          <w:p w:rsidR="0050741C" w:rsidRPr="0050741C" w:rsidRDefault="0050741C" w:rsidP="0050741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50.64</w:t>
            </w:r>
          </w:p>
        </w:tc>
        <w:tc>
          <w:tcPr>
            <w:tcW w:w="1805" w:type="dxa"/>
            <w:noWrap/>
            <w:hideMark/>
          </w:tcPr>
          <w:p w:rsidR="0050741C" w:rsidRPr="0050741C" w:rsidRDefault="0050741C" w:rsidP="0050741C">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51.09</w:t>
            </w:r>
          </w:p>
        </w:tc>
      </w:tr>
      <w:tr w:rsidR="00A60E10" w:rsidRPr="0050741C" w:rsidTr="00A60E1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35" w:type="dxa"/>
            <w:noWrap/>
            <w:hideMark/>
          </w:tcPr>
          <w:p w:rsidR="0050741C" w:rsidRPr="0050741C" w:rsidRDefault="0050741C" w:rsidP="0050741C">
            <w:pPr>
              <w:jc w:val="left"/>
              <w:rPr>
                <w:rFonts w:ascii="Calibri" w:eastAsia="Times New Roman" w:hAnsi="Calibri" w:cs="Calibri"/>
                <w:color w:val="000000"/>
                <w:sz w:val="18"/>
                <w:szCs w:val="18"/>
              </w:rPr>
            </w:pPr>
            <w:r w:rsidRPr="0050741C">
              <w:rPr>
                <w:rFonts w:ascii="Calibri" w:eastAsia="Times New Roman" w:hAnsi="Calibri" w:cs="Calibri"/>
                <w:color w:val="000000"/>
                <w:sz w:val="18"/>
                <w:szCs w:val="18"/>
              </w:rPr>
              <w:t>Percent25_44</w:t>
            </w:r>
          </w:p>
        </w:tc>
        <w:tc>
          <w:tcPr>
            <w:tcW w:w="1080" w:type="dxa"/>
            <w:noWrap/>
            <w:hideMark/>
          </w:tcPr>
          <w:p w:rsidR="0050741C" w:rsidRPr="0050741C" w:rsidRDefault="0050741C" w:rsidP="0050741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25.87</w:t>
            </w:r>
          </w:p>
        </w:tc>
        <w:tc>
          <w:tcPr>
            <w:tcW w:w="990" w:type="dxa"/>
            <w:noWrap/>
            <w:hideMark/>
          </w:tcPr>
          <w:p w:rsidR="0050741C" w:rsidRPr="0050741C" w:rsidRDefault="0050741C" w:rsidP="0050741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23.98</w:t>
            </w:r>
          </w:p>
        </w:tc>
        <w:tc>
          <w:tcPr>
            <w:tcW w:w="1080" w:type="dxa"/>
            <w:noWrap/>
            <w:hideMark/>
          </w:tcPr>
          <w:p w:rsidR="0050741C" w:rsidRPr="0050741C" w:rsidRDefault="0050741C" w:rsidP="0050741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25.23</w:t>
            </w:r>
          </w:p>
        </w:tc>
        <w:tc>
          <w:tcPr>
            <w:tcW w:w="1080" w:type="dxa"/>
            <w:noWrap/>
            <w:hideMark/>
          </w:tcPr>
          <w:p w:rsidR="0050741C" w:rsidRPr="0050741C" w:rsidRDefault="0050741C" w:rsidP="0050741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24.8</w:t>
            </w:r>
          </w:p>
        </w:tc>
        <w:tc>
          <w:tcPr>
            <w:tcW w:w="1805" w:type="dxa"/>
            <w:noWrap/>
            <w:hideMark/>
          </w:tcPr>
          <w:p w:rsidR="0050741C" w:rsidRPr="0050741C" w:rsidRDefault="0050741C" w:rsidP="0050741C">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50741C">
              <w:rPr>
                <w:rFonts w:ascii="Calibri" w:eastAsia="Times New Roman" w:hAnsi="Calibri" w:cs="Calibri"/>
                <w:color w:val="000000"/>
                <w:sz w:val="18"/>
                <w:szCs w:val="18"/>
              </w:rPr>
              <w:t>24.55</w:t>
            </w:r>
          </w:p>
        </w:tc>
      </w:tr>
    </w:tbl>
    <w:p w:rsidR="0050741C" w:rsidRDefault="00832E38" w:rsidP="00832E38">
      <w:pPr>
        <w:pStyle w:val="Heading3"/>
      </w:pPr>
      <w:r>
        <w:lastRenderedPageBreak/>
        <w:t>Geographical Distribution of Brewery Density (Number of Breweries per 100 square miles in MSA)</w:t>
      </w:r>
    </w:p>
    <w:p w:rsidR="00F16C9E" w:rsidRDefault="00F16C9E" w:rsidP="00187F91">
      <w:r>
        <w:rPr>
          <w:noProof/>
        </w:rPr>
        <w:drawing>
          <wp:inline distT="0" distB="0" distL="0" distR="0">
            <wp:extent cx="5943600" cy="35617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0CBADC.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3561715"/>
                    </a:xfrm>
                    <a:prstGeom prst="rect">
                      <a:avLst/>
                    </a:prstGeom>
                  </pic:spPr>
                </pic:pic>
              </a:graphicData>
            </a:graphic>
          </wp:inline>
        </w:drawing>
      </w:r>
    </w:p>
    <w:p w:rsidR="00656B57" w:rsidRDefault="00656B57" w:rsidP="00656B57">
      <w:pPr>
        <w:pStyle w:val="Heading3"/>
      </w:pPr>
      <w:r>
        <w:t>Geographical Distribution of Housing Density (Number of Houses per 100 square miles in MSA)</w:t>
      </w:r>
    </w:p>
    <w:p w:rsidR="00656B57" w:rsidRDefault="00656B57" w:rsidP="00187F91">
      <w:r>
        <w:rPr>
          <w:noProof/>
        </w:rPr>
        <w:drawing>
          <wp:inline distT="0" distB="0" distL="0" distR="0">
            <wp:extent cx="5943600" cy="35540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0CADFF.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3554095"/>
                    </a:xfrm>
                    <a:prstGeom prst="rect">
                      <a:avLst/>
                    </a:prstGeom>
                  </pic:spPr>
                </pic:pic>
              </a:graphicData>
            </a:graphic>
          </wp:inline>
        </w:drawing>
      </w:r>
    </w:p>
    <w:p w:rsidR="00656B57" w:rsidRDefault="00656B57" w:rsidP="00656B57">
      <w:pPr>
        <w:pStyle w:val="Heading3"/>
      </w:pPr>
      <w:r>
        <w:lastRenderedPageBreak/>
        <w:t>Geographical Distribution of Education (proportion of 25+ year olds with more than a BA)</w:t>
      </w:r>
    </w:p>
    <w:p w:rsidR="00656B57" w:rsidRPr="00656B57" w:rsidRDefault="00656B57" w:rsidP="00656B57">
      <w:r>
        <w:rPr>
          <w:noProof/>
        </w:rPr>
        <w:drawing>
          <wp:inline distT="0" distB="0" distL="0" distR="0">
            <wp:extent cx="5943600" cy="3566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0C716F.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656B57" w:rsidRDefault="00CC4647" w:rsidP="00CC4647">
      <w:pPr>
        <w:pStyle w:val="Heading2"/>
      </w:pPr>
      <w:r>
        <w:t>Descriptive Statistics</w:t>
      </w:r>
    </w:p>
    <w:tbl>
      <w:tblPr>
        <w:tblStyle w:val="GridTable3-Accent1"/>
        <w:tblW w:w="5189" w:type="pct"/>
        <w:tblLook w:val="04A0" w:firstRow="1" w:lastRow="0" w:firstColumn="1" w:lastColumn="0" w:noHBand="0" w:noVBand="1"/>
      </w:tblPr>
      <w:tblGrid>
        <w:gridCol w:w="2756"/>
        <w:gridCol w:w="644"/>
        <w:gridCol w:w="902"/>
        <w:gridCol w:w="809"/>
        <w:gridCol w:w="902"/>
        <w:gridCol w:w="903"/>
        <w:gridCol w:w="903"/>
        <w:gridCol w:w="903"/>
        <w:gridCol w:w="992"/>
      </w:tblGrid>
      <w:tr w:rsidR="00CC4647" w:rsidRPr="00CC4647" w:rsidTr="00CC4647">
        <w:trPr>
          <w:cnfStyle w:val="100000000000" w:firstRow="1" w:lastRow="0" w:firstColumn="0" w:lastColumn="0" w:oddVBand="0" w:evenVBand="0" w:oddHBand="0" w:evenHBand="0" w:firstRowFirstColumn="0" w:firstRowLastColumn="0" w:lastRowFirstColumn="0" w:lastRowLastColumn="0"/>
          <w:trHeight w:val="186"/>
        </w:trPr>
        <w:tc>
          <w:tcPr>
            <w:cnfStyle w:val="001000000100" w:firstRow="0" w:lastRow="0" w:firstColumn="1" w:lastColumn="0" w:oddVBand="0" w:evenVBand="0" w:oddHBand="0" w:evenHBand="0" w:firstRowFirstColumn="1" w:firstRowLastColumn="0" w:lastRowFirstColumn="0" w:lastRowLastColumn="0"/>
            <w:tcW w:w="1419" w:type="pct"/>
            <w:noWrap/>
            <w:hideMark/>
          </w:tcPr>
          <w:p w:rsidR="00CC4647" w:rsidRPr="00CC4647" w:rsidRDefault="00CC4647" w:rsidP="00CC4647">
            <w:pPr>
              <w:jc w:val="left"/>
              <w:rPr>
                <w:rFonts w:ascii="Times New Roman" w:eastAsia="Times New Roman" w:hAnsi="Times New Roman" w:cs="Times New Roman"/>
                <w:sz w:val="18"/>
                <w:szCs w:val="18"/>
              </w:rPr>
            </w:pPr>
          </w:p>
        </w:tc>
        <w:tc>
          <w:tcPr>
            <w:tcW w:w="329" w:type="pct"/>
            <w:noWrap/>
            <w:hideMark/>
          </w:tcPr>
          <w:p w:rsidR="00CC4647" w:rsidRPr="00CC4647" w:rsidRDefault="00CC4647" w:rsidP="00CC4647">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C4647">
              <w:rPr>
                <w:rFonts w:ascii="Calibri" w:eastAsia="Times New Roman" w:hAnsi="Calibri" w:cs="Calibri"/>
                <w:color w:val="000000"/>
                <w:sz w:val="18"/>
                <w:szCs w:val="18"/>
              </w:rPr>
              <w:t>count</w:t>
            </w:r>
          </w:p>
        </w:tc>
        <w:tc>
          <w:tcPr>
            <w:tcW w:w="465" w:type="pct"/>
            <w:noWrap/>
            <w:hideMark/>
          </w:tcPr>
          <w:p w:rsidR="00CC4647" w:rsidRPr="00CC4647" w:rsidRDefault="00CC4647" w:rsidP="00CC4647">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C4647">
              <w:rPr>
                <w:rFonts w:ascii="Calibri" w:eastAsia="Times New Roman" w:hAnsi="Calibri" w:cs="Calibri"/>
                <w:color w:val="000000"/>
                <w:sz w:val="18"/>
                <w:szCs w:val="18"/>
              </w:rPr>
              <w:t>mean</w:t>
            </w:r>
          </w:p>
        </w:tc>
        <w:tc>
          <w:tcPr>
            <w:tcW w:w="417" w:type="pct"/>
            <w:noWrap/>
            <w:hideMark/>
          </w:tcPr>
          <w:p w:rsidR="00CC4647" w:rsidRPr="00CC4647" w:rsidRDefault="00CC4647" w:rsidP="00CC4647">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C4647">
              <w:rPr>
                <w:rFonts w:ascii="Calibri" w:eastAsia="Times New Roman" w:hAnsi="Calibri" w:cs="Calibri"/>
                <w:color w:val="000000"/>
                <w:sz w:val="18"/>
                <w:szCs w:val="18"/>
              </w:rPr>
              <w:t>std</w:t>
            </w:r>
          </w:p>
        </w:tc>
        <w:tc>
          <w:tcPr>
            <w:tcW w:w="465" w:type="pct"/>
            <w:noWrap/>
            <w:hideMark/>
          </w:tcPr>
          <w:p w:rsidR="00CC4647" w:rsidRPr="00CC4647" w:rsidRDefault="00CC4647" w:rsidP="00CC4647">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C4647">
              <w:rPr>
                <w:rFonts w:ascii="Calibri" w:eastAsia="Times New Roman" w:hAnsi="Calibri" w:cs="Calibri"/>
                <w:color w:val="000000"/>
                <w:sz w:val="18"/>
                <w:szCs w:val="18"/>
              </w:rPr>
              <w:t>min</w:t>
            </w:r>
          </w:p>
        </w:tc>
        <w:tc>
          <w:tcPr>
            <w:tcW w:w="465" w:type="pct"/>
            <w:noWrap/>
            <w:hideMark/>
          </w:tcPr>
          <w:p w:rsidR="00CC4647" w:rsidRPr="00CC4647" w:rsidRDefault="00CC4647" w:rsidP="00CC4647">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C4647">
              <w:rPr>
                <w:rFonts w:ascii="Calibri" w:eastAsia="Times New Roman" w:hAnsi="Calibri" w:cs="Calibri"/>
                <w:color w:val="000000"/>
                <w:sz w:val="18"/>
                <w:szCs w:val="18"/>
              </w:rPr>
              <w:t>25%</w:t>
            </w:r>
          </w:p>
        </w:tc>
        <w:tc>
          <w:tcPr>
            <w:tcW w:w="465" w:type="pct"/>
            <w:noWrap/>
            <w:hideMark/>
          </w:tcPr>
          <w:p w:rsidR="00CC4647" w:rsidRPr="00CC4647" w:rsidRDefault="00CC4647" w:rsidP="00CC4647">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C4647">
              <w:rPr>
                <w:rFonts w:ascii="Calibri" w:eastAsia="Times New Roman" w:hAnsi="Calibri" w:cs="Calibri"/>
                <w:color w:val="000000"/>
                <w:sz w:val="18"/>
                <w:szCs w:val="18"/>
              </w:rPr>
              <w:t>50%</w:t>
            </w:r>
          </w:p>
        </w:tc>
        <w:tc>
          <w:tcPr>
            <w:tcW w:w="465" w:type="pct"/>
            <w:noWrap/>
            <w:hideMark/>
          </w:tcPr>
          <w:p w:rsidR="00CC4647" w:rsidRPr="00CC4647" w:rsidRDefault="00CC4647" w:rsidP="00CC4647">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C4647">
              <w:rPr>
                <w:rFonts w:ascii="Calibri" w:eastAsia="Times New Roman" w:hAnsi="Calibri" w:cs="Calibri"/>
                <w:color w:val="000000"/>
                <w:sz w:val="18"/>
                <w:szCs w:val="18"/>
              </w:rPr>
              <w:t>75%</w:t>
            </w:r>
          </w:p>
        </w:tc>
        <w:tc>
          <w:tcPr>
            <w:tcW w:w="511" w:type="pct"/>
            <w:noWrap/>
            <w:hideMark/>
          </w:tcPr>
          <w:p w:rsidR="00CC4647" w:rsidRPr="00CC4647" w:rsidRDefault="00CC4647" w:rsidP="00CC4647">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C4647">
              <w:rPr>
                <w:rFonts w:ascii="Calibri" w:eastAsia="Times New Roman" w:hAnsi="Calibri" w:cs="Calibri"/>
                <w:color w:val="000000"/>
                <w:sz w:val="18"/>
                <w:szCs w:val="18"/>
              </w:rPr>
              <w:t>max</w:t>
            </w:r>
          </w:p>
        </w:tc>
      </w:tr>
      <w:tr w:rsidR="00CC4647" w:rsidRPr="00CC4647" w:rsidTr="00CC4647">
        <w:trPr>
          <w:cnfStyle w:val="000000100000" w:firstRow="0" w:lastRow="0" w:firstColumn="0" w:lastColumn="0" w:oddVBand="0" w:evenVBand="0" w:oddHBand="1" w:evenHBand="0"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1419" w:type="pct"/>
            <w:noWrap/>
            <w:hideMark/>
          </w:tcPr>
          <w:p w:rsidR="00CC4647" w:rsidRPr="00CC4647" w:rsidRDefault="00CC4647" w:rsidP="00CC4647">
            <w:pPr>
              <w:jc w:val="left"/>
              <w:rPr>
                <w:rFonts w:ascii="Calibri" w:eastAsia="Times New Roman" w:hAnsi="Calibri" w:cs="Calibri"/>
                <w:color w:val="000000"/>
                <w:sz w:val="18"/>
                <w:szCs w:val="18"/>
              </w:rPr>
            </w:pPr>
            <w:r w:rsidRPr="00CC4647">
              <w:rPr>
                <w:rFonts w:ascii="Calibri" w:eastAsia="Times New Roman" w:hAnsi="Calibri" w:cs="Calibri"/>
                <w:color w:val="000000"/>
                <w:sz w:val="18"/>
                <w:szCs w:val="18"/>
              </w:rPr>
              <w:t>BrewDensity</w:t>
            </w:r>
          </w:p>
        </w:tc>
        <w:tc>
          <w:tcPr>
            <w:tcW w:w="329" w:type="pct"/>
            <w:noWrap/>
            <w:hideMark/>
          </w:tcPr>
          <w:p w:rsidR="00CC4647" w:rsidRPr="00CC4647" w:rsidRDefault="00CC4647" w:rsidP="00CC464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C4647">
              <w:rPr>
                <w:rFonts w:ascii="Calibri" w:eastAsia="Times New Roman" w:hAnsi="Calibri" w:cs="Calibri"/>
                <w:color w:val="000000"/>
                <w:sz w:val="18"/>
                <w:szCs w:val="18"/>
              </w:rPr>
              <w:t>360</w:t>
            </w:r>
          </w:p>
        </w:tc>
        <w:tc>
          <w:tcPr>
            <w:tcW w:w="465" w:type="pct"/>
            <w:noWrap/>
            <w:hideMark/>
          </w:tcPr>
          <w:p w:rsidR="00CC4647" w:rsidRPr="00CC4647" w:rsidRDefault="00CC4647" w:rsidP="00CC4647">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4.25</w:t>
            </w:r>
          </w:p>
        </w:tc>
        <w:tc>
          <w:tcPr>
            <w:tcW w:w="417" w:type="pct"/>
            <w:noWrap/>
            <w:hideMark/>
          </w:tcPr>
          <w:p w:rsidR="00CC4647" w:rsidRPr="00CC4647" w:rsidRDefault="00CC4647" w:rsidP="00CC4647">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3.72</w:t>
            </w:r>
          </w:p>
        </w:tc>
        <w:tc>
          <w:tcPr>
            <w:tcW w:w="465" w:type="pct"/>
            <w:noWrap/>
            <w:hideMark/>
          </w:tcPr>
          <w:p w:rsidR="00CC4647" w:rsidRPr="00CC4647" w:rsidRDefault="00CC4647" w:rsidP="00CC4647">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0.12</w:t>
            </w:r>
          </w:p>
        </w:tc>
        <w:tc>
          <w:tcPr>
            <w:tcW w:w="465" w:type="pct"/>
            <w:noWrap/>
            <w:hideMark/>
          </w:tcPr>
          <w:p w:rsidR="00CC4647" w:rsidRPr="00CC4647" w:rsidRDefault="00CC4647" w:rsidP="00CC4647">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1.60</w:t>
            </w:r>
          </w:p>
        </w:tc>
        <w:tc>
          <w:tcPr>
            <w:tcW w:w="465" w:type="pct"/>
            <w:noWrap/>
            <w:hideMark/>
          </w:tcPr>
          <w:p w:rsidR="00CC4647" w:rsidRPr="00CC4647" w:rsidRDefault="00CC4647" w:rsidP="00CC4647">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3.06</w:t>
            </w:r>
          </w:p>
        </w:tc>
        <w:tc>
          <w:tcPr>
            <w:tcW w:w="465" w:type="pct"/>
            <w:noWrap/>
            <w:hideMark/>
          </w:tcPr>
          <w:p w:rsidR="00CC4647" w:rsidRPr="00CC4647" w:rsidRDefault="00CC4647" w:rsidP="00CC4647">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6.00</w:t>
            </w:r>
          </w:p>
        </w:tc>
        <w:tc>
          <w:tcPr>
            <w:tcW w:w="511" w:type="pct"/>
            <w:noWrap/>
            <w:hideMark/>
          </w:tcPr>
          <w:p w:rsidR="00CC4647" w:rsidRPr="00CC4647" w:rsidRDefault="00CC4647" w:rsidP="00CC4647">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26.31</w:t>
            </w:r>
          </w:p>
        </w:tc>
      </w:tr>
      <w:tr w:rsidR="00CC4647" w:rsidRPr="00CC4647" w:rsidTr="00CC4647">
        <w:trPr>
          <w:trHeight w:val="186"/>
        </w:trPr>
        <w:tc>
          <w:tcPr>
            <w:cnfStyle w:val="001000000000" w:firstRow="0" w:lastRow="0" w:firstColumn="1" w:lastColumn="0" w:oddVBand="0" w:evenVBand="0" w:oddHBand="0" w:evenHBand="0" w:firstRowFirstColumn="0" w:firstRowLastColumn="0" w:lastRowFirstColumn="0" w:lastRowLastColumn="0"/>
            <w:tcW w:w="1419" w:type="pct"/>
            <w:noWrap/>
            <w:hideMark/>
          </w:tcPr>
          <w:p w:rsidR="00CC4647" w:rsidRPr="00CC4647" w:rsidRDefault="00CC4647" w:rsidP="00CC4647">
            <w:pPr>
              <w:jc w:val="left"/>
              <w:rPr>
                <w:rFonts w:ascii="Calibri" w:eastAsia="Times New Roman" w:hAnsi="Calibri" w:cs="Calibri"/>
                <w:color w:val="000000"/>
                <w:sz w:val="18"/>
                <w:szCs w:val="18"/>
              </w:rPr>
            </w:pPr>
            <w:r w:rsidRPr="00CC4647">
              <w:rPr>
                <w:rFonts w:ascii="Calibri" w:eastAsia="Times New Roman" w:hAnsi="Calibri" w:cs="Calibri"/>
                <w:color w:val="000000"/>
                <w:sz w:val="18"/>
                <w:szCs w:val="18"/>
              </w:rPr>
              <w:t>BrewDensityLand</w:t>
            </w:r>
          </w:p>
        </w:tc>
        <w:tc>
          <w:tcPr>
            <w:tcW w:w="329" w:type="pct"/>
            <w:noWrap/>
            <w:hideMark/>
          </w:tcPr>
          <w:p w:rsidR="00CC4647" w:rsidRPr="00CC4647" w:rsidRDefault="00CC4647" w:rsidP="00CC464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C4647">
              <w:rPr>
                <w:rFonts w:ascii="Calibri" w:eastAsia="Times New Roman" w:hAnsi="Calibri" w:cs="Calibri"/>
                <w:color w:val="000000"/>
                <w:sz w:val="18"/>
                <w:szCs w:val="18"/>
              </w:rPr>
              <w:t>360</w:t>
            </w:r>
          </w:p>
        </w:tc>
        <w:tc>
          <w:tcPr>
            <w:tcW w:w="465" w:type="pct"/>
            <w:noWrap/>
            <w:hideMark/>
          </w:tcPr>
          <w:p w:rsidR="00CC4647" w:rsidRPr="00CC4647" w:rsidRDefault="00CC4647" w:rsidP="00CC4647">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1.01</w:t>
            </w:r>
          </w:p>
        </w:tc>
        <w:tc>
          <w:tcPr>
            <w:tcW w:w="417" w:type="pct"/>
            <w:noWrap/>
            <w:hideMark/>
          </w:tcPr>
          <w:p w:rsidR="00CC4647" w:rsidRPr="00CC4647" w:rsidRDefault="00CC4647" w:rsidP="00CC4647">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1.43</w:t>
            </w:r>
          </w:p>
        </w:tc>
        <w:tc>
          <w:tcPr>
            <w:tcW w:w="465" w:type="pct"/>
            <w:noWrap/>
            <w:hideMark/>
          </w:tcPr>
          <w:p w:rsidR="00CC4647" w:rsidRPr="00CC4647" w:rsidRDefault="00CC4647" w:rsidP="00CC4647">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0.03</w:t>
            </w:r>
          </w:p>
        </w:tc>
        <w:tc>
          <w:tcPr>
            <w:tcW w:w="465" w:type="pct"/>
            <w:noWrap/>
            <w:hideMark/>
          </w:tcPr>
          <w:p w:rsidR="00CC4647" w:rsidRPr="00CC4647" w:rsidRDefault="00CC4647" w:rsidP="00CC4647">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0.26</w:t>
            </w:r>
          </w:p>
        </w:tc>
        <w:tc>
          <w:tcPr>
            <w:tcW w:w="465" w:type="pct"/>
            <w:noWrap/>
            <w:hideMark/>
          </w:tcPr>
          <w:p w:rsidR="00CC4647" w:rsidRPr="00CC4647" w:rsidRDefault="00CC4647" w:rsidP="00CC4647">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0.64</w:t>
            </w:r>
          </w:p>
        </w:tc>
        <w:tc>
          <w:tcPr>
            <w:tcW w:w="465" w:type="pct"/>
            <w:noWrap/>
            <w:hideMark/>
          </w:tcPr>
          <w:p w:rsidR="00CC4647" w:rsidRPr="00CC4647" w:rsidRDefault="00CC4647" w:rsidP="00CC4647">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1.19</w:t>
            </w:r>
          </w:p>
        </w:tc>
        <w:tc>
          <w:tcPr>
            <w:tcW w:w="511" w:type="pct"/>
            <w:noWrap/>
            <w:hideMark/>
          </w:tcPr>
          <w:p w:rsidR="00CC4647" w:rsidRPr="00CC4647" w:rsidRDefault="00CC4647" w:rsidP="00CC4647">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17.81</w:t>
            </w:r>
          </w:p>
        </w:tc>
      </w:tr>
      <w:tr w:rsidR="00CC4647" w:rsidRPr="00CC4647" w:rsidTr="00CC4647">
        <w:trPr>
          <w:cnfStyle w:val="000000100000" w:firstRow="0" w:lastRow="0" w:firstColumn="0" w:lastColumn="0" w:oddVBand="0" w:evenVBand="0" w:oddHBand="1" w:evenHBand="0"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1419" w:type="pct"/>
            <w:noWrap/>
            <w:hideMark/>
          </w:tcPr>
          <w:p w:rsidR="00CC4647" w:rsidRPr="00CC4647" w:rsidRDefault="00CC4647" w:rsidP="00CC4647">
            <w:pPr>
              <w:jc w:val="left"/>
              <w:rPr>
                <w:rFonts w:ascii="Calibri" w:eastAsia="Times New Roman" w:hAnsi="Calibri" w:cs="Calibri"/>
                <w:color w:val="000000"/>
                <w:sz w:val="18"/>
                <w:szCs w:val="18"/>
              </w:rPr>
            </w:pPr>
            <w:r w:rsidRPr="00CC4647">
              <w:rPr>
                <w:rFonts w:ascii="Calibri" w:eastAsia="Times New Roman" w:hAnsi="Calibri" w:cs="Calibri"/>
                <w:color w:val="000000"/>
                <w:sz w:val="18"/>
                <w:szCs w:val="18"/>
              </w:rPr>
              <w:t>Per capita personal income</w:t>
            </w:r>
          </w:p>
        </w:tc>
        <w:tc>
          <w:tcPr>
            <w:tcW w:w="329" w:type="pct"/>
            <w:noWrap/>
            <w:hideMark/>
          </w:tcPr>
          <w:p w:rsidR="00CC4647" w:rsidRPr="00CC4647" w:rsidRDefault="00CC4647" w:rsidP="00CC464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C4647">
              <w:rPr>
                <w:rFonts w:ascii="Calibri" w:eastAsia="Times New Roman" w:hAnsi="Calibri" w:cs="Calibri"/>
                <w:color w:val="000000"/>
                <w:sz w:val="18"/>
                <w:szCs w:val="18"/>
              </w:rPr>
              <w:t>360</w:t>
            </w:r>
          </w:p>
        </w:tc>
        <w:tc>
          <w:tcPr>
            <w:tcW w:w="465" w:type="pct"/>
            <w:noWrap/>
            <w:hideMark/>
          </w:tcPr>
          <w:p w:rsidR="00CC4647" w:rsidRPr="00CC4647" w:rsidRDefault="00CC4647" w:rsidP="00CC4647">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45636.98</w:t>
            </w:r>
          </w:p>
        </w:tc>
        <w:tc>
          <w:tcPr>
            <w:tcW w:w="417" w:type="pct"/>
            <w:noWrap/>
            <w:hideMark/>
          </w:tcPr>
          <w:p w:rsidR="00CC4647" w:rsidRPr="00CC4647" w:rsidRDefault="00CC4647" w:rsidP="00CC4647">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9178.26</w:t>
            </w:r>
          </w:p>
        </w:tc>
        <w:tc>
          <w:tcPr>
            <w:tcW w:w="465" w:type="pct"/>
            <w:noWrap/>
            <w:hideMark/>
          </w:tcPr>
          <w:p w:rsidR="00CC4647" w:rsidRPr="00CC4647" w:rsidRDefault="00CC4647" w:rsidP="00CC4647">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25617.00</w:t>
            </w:r>
          </w:p>
        </w:tc>
        <w:tc>
          <w:tcPr>
            <w:tcW w:w="465" w:type="pct"/>
            <w:noWrap/>
            <w:hideMark/>
          </w:tcPr>
          <w:p w:rsidR="00CC4647" w:rsidRPr="00CC4647" w:rsidRDefault="00CC4647" w:rsidP="00CC4647">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39896.25</w:t>
            </w:r>
          </w:p>
        </w:tc>
        <w:tc>
          <w:tcPr>
            <w:tcW w:w="465" w:type="pct"/>
            <w:noWrap/>
            <w:hideMark/>
          </w:tcPr>
          <w:p w:rsidR="00CC4647" w:rsidRPr="00CC4647" w:rsidRDefault="00CC4647" w:rsidP="00CC4647">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43642.50</w:t>
            </w:r>
          </w:p>
        </w:tc>
        <w:tc>
          <w:tcPr>
            <w:tcW w:w="465" w:type="pct"/>
            <w:noWrap/>
            <w:hideMark/>
          </w:tcPr>
          <w:p w:rsidR="00CC4647" w:rsidRPr="00CC4647" w:rsidRDefault="00CC4647" w:rsidP="00CC4647">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49120.50</w:t>
            </w:r>
          </w:p>
        </w:tc>
        <w:tc>
          <w:tcPr>
            <w:tcW w:w="511" w:type="pct"/>
            <w:noWrap/>
            <w:hideMark/>
          </w:tcPr>
          <w:p w:rsidR="00CC4647" w:rsidRPr="00CC4647" w:rsidRDefault="00CC4647" w:rsidP="00CC4647">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110104.00</w:t>
            </w:r>
          </w:p>
        </w:tc>
      </w:tr>
      <w:tr w:rsidR="00CC4647" w:rsidRPr="00CC4647" w:rsidTr="00CC4647">
        <w:trPr>
          <w:trHeight w:val="186"/>
        </w:trPr>
        <w:tc>
          <w:tcPr>
            <w:cnfStyle w:val="001000000000" w:firstRow="0" w:lastRow="0" w:firstColumn="1" w:lastColumn="0" w:oddVBand="0" w:evenVBand="0" w:oddHBand="0" w:evenHBand="0" w:firstRowFirstColumn="0" w:firstRowLastColumn="0" w:lastRowFirstColumn="0" w:lastRowLastColumn="0"/>
            <w:tcW w:w="1419" w:type="pct"/>
            <w:noWrap/>
            <w:hideMark/>
          </w:tcPr>
          <w:p w:rsidR="00CC4647" w:rsidRPr="00CC4647" w:rsidRDefault="00CC4647" w:rsidP="00CC4647">
            <w:pPr>
              <w:jc w:val="left"/>
              <w:rPr>
                <w:rFonts w:ascii="Calibri" w:eastAsia="Times New Roman" w:hAnsi="Calibri" w:cs="Calibri"/>
                <w:color w:val="000000"/>
                <w:sz w:val="18"/>
                <w:szCs w:val="18"/>
              </w:rPr>
            </w:pPr>
            <w:r w:rsidRPr="00CC4647">
              <w:rPr>
                <w:rFonts w:ascii="Calibri" w:eastAsia="Times New Roman" w:hAnsi="Calibri" w:cs="Calibri"/>
                <w:color w:val="000000"/>
                <w:sz w:val="18"/>
                <w:szCs w:val="18"/>
              </w:rPr>
              <w:t>Jobs-Population Ratio</w:t>
            </w:r>
          </w:p>
        </w:tc>
        <w:tc>
          <w:tcPr>
            <w:tcW w:w="329" w:type="pct"/>
            <w:noWrap/>
            <w:hideMark/>
          </w:tcPr>
          <w:p w:rsidR="00CC4647" w:rsidRPr="00CC4647" w:rsidRDefault="00CC4647" w:rsidP="00CC464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C4647">
              <w:rPr>
                <w:rFonts w:ascii="Calibri" w:eastAsia="Times New Roman" w:hAnsi="Calibri" w:cs="Calibri"/>
                <w:color w:val="000000"/>
                <w:sz w:val="18"/>
                <w:szCs w:val="18"/>
              </w:rPr>
              <w:t>360</w:t>
            </w:r>
          </w:p>
        </w:tc>
        <w:tc>
          <w:tcPr>
            <w:tcW w:w="465" w:type="pct"/>
            <w:noWrap/>
            <w:hideMark/>
          </w:tcPr>
          <w:p w:rsidR="00CC4647" w:rsidRPr="00CC4647" w:rsidRDefault="00CC4647" w:rsidP="00CC4647">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0.58</w:t>
            </w:r>
          </w:p>
        </w:tc>
        <w:tc>
          <w:tcPr>
            <w:tcW w:w="417" w:type="pct"/>
            <w:noWrap/>
            <w:hideMark/>
          </w:tcPr>
          <w:p w:rsidR="00CC4647" w:rsidRPr="00CC4647" w:rsidRDefault="00CC4647" w:rsidP="00CC4647">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0.09</w:t>
            </w:r>
          </w:p>
        </w:tc>
        <w:tc>
          <w:tcPr>
            <w:tcW w:w="465" w:type="pct"/>
            <w:noWrap/>
            <w:hideMark/>
          </w:tcPr>
          <w:p w:rsidR="00CC4647" w:rsidRPr="00CC4647" w:rsidRDefault="00CC4647" w:rsidP="00CC4647">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0.34</w:t>
            </w:r>
          </w:p>
        </w:tc>
        <w:tc>
          <w:tcPr>
            <w:tcW w:w="465" w:type="pct"/>
            <w:noWrap/>
            <w:hideMark/>
          </w:tcPr>
          <w:p w:rsidR="00CC4647" w:rsidRPr="00CC4647" w:rsidRDefault="00CC4647" w:rsidP="00CC4647">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0.52</w:t>
            </w:r>
          </w:p>
        </w:tc>
        <w:tc>
          <w:tcPr>
            <w:tcW w:w="465" w:type="pct"/>
            <w:noWrap/>
            <w:hideMark/>
          </w:tcPr>
          <w:p w:rsidR="00CC4647" w:rsidRPr="00CC4647" w:rsidRDefault="00CC4647" w:rsidP="00CC4647">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0.58</w:t>
            </w:r>
          </w:p>
        </w:tc>
        <w:tc>
          <w:tcPr>
            <w:tcW w:w="465" w:type="pct"/>
            <w:noWrap/>
            <w:hideMark/>
          </w:tcPr>
          <w:p w:rsidR="00CC4647" w:rsidRPr="00CC4647" w:rsidRDefault="00CC4647" w:rsidP="00CC4647">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0.63</w:t>
            </w:r>
          </w:p>
        </w:tc>
        <w:tc>
          <w:tcPr>
            <w:tcW w:w="511" w:type="pct"/>
            <w:noWrap/>
            <w:hideMark/>
          </w:tcPr>
          <w:p w:rsidR="00CC4647" w:rsidRPr="00CC4647" w:rsidRDefault="00CC4647" w:rsidP="00CC4647">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0.87</w:t>
            </w:r>
          </w:p>
        </w:tc>
      </w:tr>
      <w:tr w:rsidR="00CC4647" w:rsidRPr="00CC4647" w:rsidTr="00CC4647">
        <w:trPr>
          <w:cnfStyle w:val="000000100000" w:firstRow="0" w:lastRow="0" w:firstColumn="0" w:lastColumn="0" w:oddVBand="0" w:evenVBand="0" w:oddHBand="1" w:evenHBand="0"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1419" w:type="pct"/>
            <w:noWrap/>
            <w:hideMark/>
          </w:tcPr>
          <w:p w:rsidR="00CC4647" w:rsidRPr="0050741C" w:rsidRDefault="00CC4647" w:rsidP="00CC4647">
            <w:pPr>
              <w:jc w:val="left"/>
              <w:rPr>
                <w:rFonts w:ascii="Calibri" w:eastAsia="Times New Roman" w:hAnsi="Calibri" w:cs="Calibri"/>
                <w:color w:val="000000"/>
                <w:sz w:val="18"/>
                <w:szCs w:val="18"/>
              </w:rPr>
            </w:pPr>
            <w:r w:rsidRPr="00CC4647">
              <w:rPr>
                <w:rFonts w:ascii="Calibri" w:eastAsia="Times New Roman" w:hAnsi="Calibri" w:cs="Calibri"/>
                <w:color w:val="000000"/>
                <w:sz w:val="18"/>
                <w:szCs w:val="18"/>
              </w:rPr>
              <w:t>%</w:t>
            </w:r>
            <w:r w:rsidRPr="0050741C">
              <w:rPr>
                <w:rFonts w:ascii="Calibri" w:eastAsia="Times New Roman" w:hAnsi="Calibri" w:cs="Calibri"/>
                <w:color w:val="000000"/>
                <w:sz w:val="18"/>
                <w:szCs w:val="18"/>
              </w:rPr>
              <w:t xml:space="preserve"> 25</w:t>
            </w:r>
            <w:r w:rsidRPr="00CC4647">
              <w:rPr>
                <w:rFonts w:ascii="Calibri" w:eastAsia="Times New Roman" w:hAnsi="Calibri" w:cs="Calibri"/>
                <w:color w:val="000000"/>
                <w:sz w:val="18"/>
                <w:szCs w:val="18"/>
              </w:rPr>
              <w:t>+ pop</w:t>
            </w:r>
            <w:r w:rsidRPr="0050741C">
              <w:rPr>
                <w:rFonts w:ascii="Calibri" w:eastAsia="Times New Roman" w:hAnsi="Calibri" w:cs="Calibri"/>
                <w:color w:val="000000"/>
                <w:sz w:val="18"/>
                <w:szCs w:val="18"/>
              </w:rPr>
              <w:t xml:space="preserve"> wi</w:t>
            </w:r>
            <w:r w:rsidRPr="00CC4647">
              <w:rPr>
                <w:rFonts w:ascii="Calibri" w:eastAsia="Times New Roman" w:hAnsi="Calibri" w:cs="Calibri"/>
                <w:color w:val="000000"/>
                <w:sz w:val="18"/>
                <w:szCs w:val="18"/>
              </w:rPr>
              <w:t>th Bachelor's or more</w:t>
            </w:r>
          </w:p>
        </w:tc>
        <w:tc>
          <w:tcPr>
            <w:tcW w:w="329" w:type="pct"/>
            <w:noWrap/>
            <w:hideMark/>
          </w:tcPr>
          <w:p w:rsidR="00CC4647" w:rsidRPr="00CC4647" w:rsidRDefault="00CC4647" w:rsidP="00CC464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C4647">
              <w:rPr>
                <w:rFonts w:ascii="Calibri" w:eastAsia="Times New Roman" w:hAnsi="Calibri" w:cs="Calibri"/>
                <w:color w:val="000000"/>
                <w:sz w:val="18"/>
                <w:szCs w:val="18"/>
              </w:rPr>
              <w:t>360</w:t>
            </w:r>
          </w:p>
        </w:tc>
        <w:tc>
          <w:tcPr>
            <w:tcW w:w="465" w:type="pct"/>
            <w:noWrap/>
            <w:hideMark/>
          </w:tcPr>
          <w:p w:rsidR="00CC4647" w:rsidRPr="00CC4647" w:rsidRDefault="00CC4647" w:rsidP="00CC4647">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27.83</w:t>
            </w:r>
          </w:p>
        </w:tc>
        <w:tc>
          <w:tcPr>
            <w:tcW w:w="417" w:type="pct"/>
            <w:noWrap/>
            <w:hideMark/>
          </w:tcPr>
          <w:p w:rsidR="00CC4647" w:rsidRPr="00CC4647" w:rsidRDefault="00CC4647" w:rsidP="00CC4647">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8.23</w:t>
            </w:r>
          </w:p>
        </w:tc>
        <w:tc>
          <w:tcPr>
            <w:tcW w:w="465" w:type="pct"/>
            <w:noWrap/>
            <w:hideMark/>
          </w:tcPr>
          <w:p w:rsidR="00CC4647" w:rsidRPr="00CC4647" w:rsidRDefault="00CC4647" w:rsidP="00CC4647">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12.30</w:t>
            </w:r>
          </w:p>
        </w:tc>
        <w:tc>
          <w:tcPr>
            <w:tcW w:w="465" w:type="pct"/>
            <w:noWrap/>
            <w:hideMark/>
          </w:tcPr>
          <w:p w:rsidR="00CC4647" w:rsidRPr="00CC4647" w:rsidRDefault="00CC4647" w:rsidP="00CC4647">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21.50</w:t>
            </w:r>
          </w:p>
        </w:tc>
        <w:tc>
          <w:tcPr>
            <w:tcW w:w="465" w:type="pct"/>
            <w:noWrap/>
            <w:hideMark/>
          </w:tcPr>
          <w:p w:rsidR="00CC4647" w:rsidRPr="00CC4647" w:rsidRDefault="00CC4647" w:rsidP="00CC4647">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26.95</w:t>
            </w:r>
          </w:p>
        </w:tc>
        <w:tc>
          <w:tcPr>
            <w:tcW w:w="465" w:type="pct"/>
            <w:noWrap/>
            <w:hideMark/>
          </w:tcPr>
          <w:p w:rsidR="00CC4647" w:rsidRPr="00CC4647" w:rsidRDefault="00CC4647" w:rsidP="00CC4647">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32.85</w:t>
            </w:r>
          </w:p>
        </w:tc>
        <w:tc>
          <w:tcPr>
            <w:tcW w:w="511" w:type="pct"/>
            <w:noWrap/>
            <w:hideMark/>
          </w:tcPr>
          <w:p w:rsidR="00CC4647" w:rsidRPr="00CC4647" w:rsidRDefault="00CC4647" w:rsidP="00CC4647">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60.40</w:t>
            </w:r>
          </w:p>
        </w:tc>
      </w:tr>
      <w:tr w:rsidR="00CC4647" w:rsidRPr="00CC4647" w:rsidTr="00CC4647">
        <w:trPr>
          <w:trHeight w:val="186"/>
        </w:trPr>
        <w:tc>
          <w:tcPr>
            <w:cnfStyle w:val="001000000000" w:firstRow="0" w:lastRow="0" w:firstColumn="1" w:lastColumn="0" w:oddVBand="0" w:evenVBand="0" w:oddHBand="0" w:evenHBand="0" w:firstRowFirstColumn="0" w:firstRowLastColumn="0" w:lastRowFirstColumn="0" w:lastRowLastColumn="0"/>
            <w:tcW w:w="1419" w:type="pct"/>
            <w:noWrap/>
            <w:hideMark/>
          </w:tcPr>
          <w:p w:rsidR="00CC4647" w:rsidRPr="00CC4647" w:rsidRDefault="00CC4647" w:rsidP="00CC4647">
            <w:pPr>
              <w:jc w:val="left"/>
              <w:rPr>
                <w:rFonts w:ascii="Calibri" w:eastAsia="Times New Roman" w:hAnsi="Calibri" w:cs="Calibri"/>
                <w:color w:val="000000"/>
                <w:sz w:val="18"/>
                <w:szCs w:val="18"/>
              </w:rPr>
            </w:pPr>
            <w:r w:rsidRPr="00CC4647">
              <w:rPr>
                <w:rFonts w:ascii="Calibri" w:eastAsia="Times New Roman" w:hAnsi="Calibri" w:cs="Calibri"/>
                <w:color w:val="000000"/>
                <w:sz w:val="18"/>
                <w:szCs w:val="18"/>
              </w:rPr>
              <w:t>PopDensity</w:t>
            </w:r>
          </w:p>
        </w:tc>
        <w:tc>
          <w:tcPr>
            <w:tcW w:w="329" w:type="pct"/>
            <w:noWrap/>
            <w:hideMark/>
          </w:tcPr>
          <w:p w:rsidR="00CC4647" w:rsidRPr="00CC4647" w:rsidRDefault="00CC4647" w:rsidP="00CC464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C4647">
              <w:rPr>
                <w:rFonts w:ascii="Calibri" w:eastAsia="Times New Roman" w:hAnsi="Calibri" w:cs="Calibri"/>
                <w:color w:val="000000"/>
                <w:sz w:val="18"/>
                <w:szCs w:val="18"/>
              </w:rPr>
              <w:t>360</w:t>
            </w:r>
          </w:p>
        </w:tc>
        <w:tc>
          <w:tcPr>
            <w:tcW w:w="465" w:type="pct"/>
            <w:noWrap/>
            <w:hideMark/>
          </w:tcPr>
          <w:p w:rsidR="00CC4647" w:rsidRPr="00CC4647" w:rsidRDefault="00CC4647" w:rsidP="00CC4647">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270.52</w:t>
            </w:r>
          </w:p>
        </w:tc>
        <w:tc>
          <w:tcPr>
            <w:tcW w:w="417" w:type="pct"/>
            <w:noWrap/>
            <w:hideMark/>
          </w:tcPr>
          <w:p w:rsidR="00CC4647" w:rsidRPr="00CC4647" w:rsidRDefault="00CC4647" w:rsidP="00CC4647">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287.41</w:t>
            </w:r>
          </w:p>
        </w:tc>
        <w:tc>
          <w:tcPr>
            <w:tcW w:w="465" w:type="pct"/>
            <w:noWrap/>
            <w:hideMark/>
          </w:tcPr>
          <w:p w:rsidR="00CC4647" w:rsidRPr="00CC4647" w:rsidRDefault="00CC4647" w:rsidP="00CC4647">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7.22</w:t>
            </w:r>
          </w:p>
        </w:tc>
        <w:tc>
          <w:tcPr>
            <w:tcW w:w="465" w:type="pct"/>
            <w:noWrap/>
            <w:hideMark/>
          </w:tcPr>
          <w:p w:rsidR="00CC4647" w:rsidRPr="00CC4647" w:rsidRDefault="00CC4647" w:rsidP="00CC4647">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113.49</w:t>
            </w:r>
          </w:p>
        </w:tc>
        <w:tc>
          <w:tcPr>
            <w:tcW w:w="465" w:type="pct"/>
            <w:noWrap/>
            <w:hideMark/>
          </w:tcPr>
          <w:p w:rsidR="00CC4647" w:rsidRPr="00CC4647" w:rsidRDefault="00CC4647" w:rsidP="00CC4647">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187.09</w:t>
            </w:r>
          </w:p>
        </w:tc>
        <w:tc>
          <w:tcPr>
            <w:tcW w:w="465" w:type="pct"/>
            <w:noWrap/>
            <w:hideMark/>
          </w:tcPr>
          <w:p w:rsidR="00CC4647" w:rsidRPr="00CC4647" w:rsidRDefault="00CC4647" w:rsidP="00CC4647">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333.51</w:t>
            </w:r>
          </w:p>
        </w:tc>
        <w:tc>
          <w:tcPr>
            <w:tcW w:w="511" w:type="pct"/>
            <w:noWrap/>
            <w:hideMark/>
          </w:tcPr>
          <w:p w:rsidR="00CC4647" w:rsidRPr="00CC4647" w:rsidRDefault="00CC4647" w:rsidP="00CC4647">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2825.99</w:t>
            </w:r>
          </w:p>
        </w:tc>
      </w:tr>
      <w:tr w:rsidR="00CC4647" w:rsidRPr="00CC4647" w:rsidTr="00CC4647">
        <w:trPr>
          <w:cnfStyle w:val="000000100000" w:firstRow="0" w:lastRow="0" w:firstColumn="0" w:lastColumn="0" w:oddVBand="0" w:evenVBand="0" w:oddHBand="1" w:evenHBand="0"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1419" w:type="pct"/>
            <w:noWrap/>
            <w:hideMark/>
          </w:tcPr>
          <w:p w:rsidR="00CC4647" w:rsidRPr="00CC4647" w:rsidRDefault="00CC4647" w:rsidP="00CC4647">
            <w:pPr>
              <w:jc w:val="left"/>
              <w:rPr>
                <w:rFonts w:ascii="Calibri" w:eastAsia="Times New Roman" w:hAnsi="Calibri" w:cs="Calibri"/>
                <w:color w:val="000000"/>
                <w:sz w:val="18"/>
                <w:szCs w:val="18"/>
              </w:rPr>
            </w:pPr>
            <w:r w:rsidRPr="00CC4647">
              <w:rPr>
                <w:rFonts w:ascii="Calibri" w:eastAsia="Times New Roman" w:hAnsi="Calibri" w:cs="Calibri"/>
                <w:color w:val="000000"/>
                <w:sz w:val="18"/>
                <w:szCs w:val="18"/>
              </w:rPr>
              <w:t>HousingDensity</w:t>
            </w:r>
          </w:p>
        </w:tc>
        <w:tc>
          <w:tcPr>
            <w:tcW w:w="329" w:type="pct"/>
            <w:noWrap/>
            <w:hideMark/>
          </w:tcPr>
          <w:p w:rsidR="00CC4647" w:rsidRPr="00CC4647" w:rsidRDefault="00CC4647" w:rsidP="00CC464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C4647">
              <w:rPr>
                <w:rFonts w:ascii="Calibri" w:eastAsia="Times New Roman" w:hAnsi="Calibri" w:cs="Calibri"/>
                <w:color w:val="000000"/>
                <w:sz w:val="18"/>
                <w:szCs w:val="18"/>
              </w:rPr>
              <w:t>360</w:t>
            </w:r>
          </w:p>
        </w:tc>
        <w:tc>
          <w:tcPr>
            <w:tcW w:w="465" w:type="pct"/>
            <w:noWrap/>
            <w:hideMark/>
          </w:tcPr>
          <w:p w:rsidR="00CC4647" w:rsidRPr="00CC4647" w:rsidRDefault="00CC4647" w:rsidP="00CC4647">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117.15</w:t>
            </w:r>
          </w:p>
        </w:tc>
        <w:tc>
          <w:tcPr>
            <w:tcW w:w="417" w:type="pct"/>
            <w:noWrap/>
            <w:hideMark/>
          </w:tcPr>
          <w:p w:rsidR="00CC4647" w:rsidRPr="00CC4647" w:rsidRDefault="00CC4647" w:rsidP="00CC4647">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121.52</w:t>
            </w:r>
          </w:p>
        </w:tc>
        <w:tc>
          <w:tcPr>
            <w:tcW w:w="465" w:type="pct"/>
            <w:noWrap/>
            <w:hideMark/>
          </w:tcPr>
          <w:p w:rsidR="00CC4647" w:rsidRPr="00CC4647" w:rsidRDefault="00CC4647" w:rsidP="00CC4647">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3.40</w:t>
            </w:r>
          </w:p>
        </w:tc>
        <w:tc>
          <w:tcPr>
            <w:tcW w:w="465" w:type="pct"/>
            <w:noWrap/>
            <w:hideMark/>
          </w:tcPr>
          <w:p w:rsidR="00CC4647" w:rsidRPr="00CC4647" w:rsidRDefault="00CC4647" w:rsidP="00CC4647">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47.46</w:t>
            </w:r>
          </w:p>
        </w:tc>
        <w:tc>
          <w:tcPr>
            <w:tcW w:w="465" w:type="pct"/>
            <w:noWrap/>
            <w:hideMark/>
          </w:tcPr>
          <w:p w:rsidR="00CC4647" w:rsidRPr="00CC4647" w:rsidRDefault="00CC4647" w:rsidP="00CC4647">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81.16</w:t>
            </w:r>
          </w:p>
        </w:tc>
        <w:tc>
          <w:tcPr>
            <w:tcW w:w="465" w:type="pct"/>
            <w:noWrap/>
            <w:hideMark/>
          </w:tcPr>
          <w:p w:rsidR="00CC4647" w:rsidRPr="00CC4647" w:rsidRDefault="00CC4647" w:rsidP="00CC4647">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147.36</w:t>
            </w:r>
          </w:p>
        </w:tc>
        <w:tc>
          <w:tcPr>
            <w:tcW w:w="511" w:type="pct"/>
            <w:noWrap/>
            <w:hideMark/>
          </w:tcPr>
          <w:p w:rsidR="00CC4647" w:rsidRPr="00CC4647" w:rsidRDefault="00CC4647" w:rsidP="00CC4647">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1125.75</w:t>
            </w:r>
          </w:p>
        </w:tc>
      </w:tr>
      <w:tr w:rsidR="00CC4647" w:rsidRPr="00CC4647" w:rsidTr="00CC4647">
        <w:trPr>
          <w:trHeight w:val="186"/>
        </w:trPr>
        <w:tc>
          <w:tcPr>
            <w:cnfStyle w:val="001000000000" w:firstRow="0" w:lastRow="0" w:firstColumn="1" w:lastColumn="0" w:oddVBand="0" w:evenVBand="0" w:oddHBand="0" w:evenHBand="0" w:firstRowFirstColumn="0" w:firstRowLastColumn="0" w:lastRowFirstColumn="0" w:lastRowLastColumn="0"/>
            <w:tcW w:w="1419" w:type="pct"/>
            <w:noWrap/>
            <w:hideMark/>
          </w:tcPr>
          <w:p w:rsidR="00CC4647" w:rsidRPr="00CC4647" w:rsidRDefault="00CC4647" w:rsidP="00CC4647">
            <w:pPr>
              <w:jc w:val="left"/>
              <w:rPr>
                <w:rFonts w:ascii="Calibri" w:eastAsia="Times New Roman" w:hAnsi="Calibri" w:cs="Calibri"/>
                <w:color w:val="000000"/>
                <w:sz w:val="18"/>
                <w:szCs w:val="18"/>
              </w:rPr>
            </w:pPr>
            <w:r w:rsidRPr="00CC4647">
              <w:rPr>
                <w:rFonts w:ascii="Calibri" w:eastAsia="Times New Roman" w:hAnsi="Calibri" w:cs="Calibri"/>
                <w:color w:val="000000"/>
                <w:sz w:val="18"/>
                <w:szCs w:val="18"/>
              </w:rPr>
              <w:t>BarsDensity</w:t>
            </w:r>
          </w:p>
        </w:tc>
        <w:tc>
          <w:tcPr>
            <w:tcW w:w="329" w:type="pct"/>
            <w:noWrap/>
            <w:hideMark/>
          </w:tcPr>
          <w:p w:rsidR="00CC4647" w:rsidRPr="00CC4647" w:rsidRDefault="00CC4647" w:rsidP="00CC464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C4647">
              <w:rPr>
                <w:rFonts w:ascii="Calibri" w:eastAsia="Times New Roman" w:hAnsi="Calibri" w:cs="Calibri"/>
                <w:color w:val="000000"/>
                <w:sz w:val="18"/>
                <w:szCs w:val="18"/>
              </w:rPr>
              <w:t>360</w:t>
            </w:r>
          </w:p>
        </w:tc>
        <w:tc>
          <w:tcPr>
            <w:tcW w:w="465" w:type="pct"/>
            <w:noWrap/>
            <w:hideMark/>
          </w:tcPr>
          <w:p w:rsidR="00CC4647" w:rsidRPr="00CC4647" w:rsidRDefault="00CC4647" w:rsidP="00CC4647">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16.93</w:t>
            </w:r>
          </w:p>
        </w:tc>
        <w:tc>
          <w:tcPr>
            <w:tcW w:w="417" w:type="pct"/>
            <w:noWrap/>
            <w:hideMark/>
          </w:tcPr>
          <w:p w:rsidR="00CC4647" w:rsidRPr="00CC4647" w:rsidRDefault="00CC4647" w:rsidP="00CC4647">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11.85</w:t>
            </w:r>
          </w:p>
        </w:tc>
        <w:tc>
          <w:tcPr>
            <w:tcW w:w="465" w:type="pct"/>
            <w:noWrap/>
            <w:hideMark/>
          </w:tcPr>
          <w:p w:rsidR="00CC4647" w:rsidRPr="00CC4647" w:rsidRDefault="00CC4647" w:rsidP="00CC4647">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0.25</w:t>
            </w:r>
          </w:p>
        </w:tc>
        <w:tc>
          <w:tcPr>
            <w:tcW w:w="465" w:type="pct"/>
            <w:noWrap/>
            <w:hideMark/>
          </w:tcPr>
          <w:p w:rsidR="00CC4647" w:rsidRPr="00CC4647" w:rsidRDefault="00CC4647" w:rsidP="00CC4647">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7.69</w:t>
            </w:r>
          </w:p>
        </w:tc>
        <w:tc>
          <w:tcPr>
            <w:tcW w:w="465" w:type="pct"/>
            <w:noWrap/>
            <w:hideMark/>
          </w:tcPr>
          <w:p w:rsidR="00CC4647" w:rsidRPr="00CC4647" w:rsidRDefault="00CC4647" w:rsidP="00CC4647">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15.14</w:t>
            </w:r>
          </w:p>
        </w:tc>
        <w:tc>
          <w:tcPr>
            <w:tcW w:w="465" w:type="pct"/>
            <w:noWrap/>
            <w:hideMark/>
          </w:tcPr>
          <w:p w:rsidR="00CC4647" w:rsidRPr="00CC4647" w:rsidRDefault="00CC4647" w:rsidP="00CC4647">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23.56</w:t>
            </w:r>
          </w:p>
        </w:tc>
        <w:tc>
          <w:tcPr>
            <w:tcW w:w="511" w:type="pct"/>
            <w:noWrap/>
            <w:hideMark/>
          </w:tcPr>
          <w:p w:rsidR="00CC4647" w:rsidRPr="00CC4647" w:rsidRDefault="00CC4647" w:rsidP="00CC4647">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54.93</w:t>
            </w:r>
          </w:p>
        </w:tc>
      </w:tr>
      <w:tr w:rsidR="00CC4647" w:rsidRPr="00CC4647" w:rsidTr="00CC4647">
        <w:trPr>
          <w:cnfStyle w:val="000000100000" w:firstRow="0" w:lastRow="0" w:firstColumn="0" w:lastColumn="0" w:oddVBand="0" w:evenVBand="0" w:oddHBand="1" w:evenHBand="0"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1419" w:type="pct"/>
            <w:noWrap/>
            <w:hideMark/>
          </w:tcPr>
          <w:p w:rsidR="00CC4647" w:rsidRPr="00CC4647" w:rsidRDefault="00CC4647" w:rsidP="00CC4647">
            <w:pPr>
              <w:jc w:val="left"/>
              <w:rPr>
                <w:rFonts w:ascii="Calibri" w:eastAsia="Times New Roman" w:hAnsi="Calibri" w:cs="Calibri"/>
                <w:color w:val="000000"/>
                <w:sz w:val="18"/>
                <w:szCs w:val="18"/>
              </w:rPr>
            </w:pPr>
            <w:r w:rsidRPr="00CC4647">
              <w:rPr>
                <w:rFonts w:ascii="Calibri" w:eastAsia="Times New Roman" w:hAnsi="Calibri" w:cs="Calibri"/>
                <w:color w:val="000000"/>
                <w:sz w:val="18"/>
                <w:szCs w:val="18"/>
              </w:rPr>
              <w:t>BarsDensityLand</w:t>
            </w:r>
          </w:p>
        </w:tc>
        <w:tc>
          <w:tcPr>
            <w:tcW w:w="329" w:type="pct"/>
            <w:noWrap/>
            <w:hideMark/>
          </w:tcPr>
          <w:p w:rsidR="00CC4647" w:rsidRPr="00CC4647" w:rsidRDefault="00CC4647" w:rsidP="00CC464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C4647">
              <w:rPr>
                <w:rFonts w:ascii="Calibri" w:eastAsia="Times New Roman" w:hAnsi="Calibri" w:cs="Calibri"/>
                <w:color w:val="000000"/>
                <w:sz w:val="18"/>
                <w:szCs w:val="18"/>
              </w:rPr>
              <w:t>360</w:t>
            </w:r>
          </w:p>
        </w:tc>
        <w:tc>
          <w:tcPr>
            <w:tcW w:w="465" w:type="pct"/>
            <w:noWrap/>
            <w:hideMark/>
          </w:tcPr>
          <w:p w:rsidR="00CC4647" w:rsidRPr="00CC4647" w:rsidRDefault="00CC4647" w:rsidP="00CC4647">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3.34</w:t>
            </w:r>
          </w:p>
        </w:tc>
        <w:tc>
          <w:tcPr>
            <w:tcW w:w="417" w:type="pct"/>
            <w:noWrap/>
            <w:hideMark/>
          </w:tcPr>
          <w:p w:rsidR="00CC4647" w:rsidRPr="00CC4647" w:rsidRDefault="00CC4647" w:rsidP="00CC4647">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2.97</w:t>
            </w:r>
          </w:p>
        </w:tc>
        <w:tc>
          <w:tcPr>
            <w:tcW w:w="465" w:type="pct"/>
            <w:noWrap/>
            <w:hideMark/>
          </w:tcPr>
          <w:p w:rsidR="00CC4647" w:rsidRPr="00CC4647" w:rsidRDefault="00CC4647" w:rsidP="00CC4647">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0.18</w:t>
            </w:r>
          </w:p>
        </w:tc>
        <w:tc>
          <w:tcPr>
            <w:tcW w:w="465" w:type="pct"/>
            <w:noWrap/>
            <w:hideMark/>
          </w:tcPr>
          <w:p w:rsidR="00CC4647" w:rsidRPr="00CC4647" w:rsidRDefault="00CC4647" w:rsidP="00CC4647">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1.29</w:t>
            </w:r>
          </w:p>
        </w:tc>
        <w:tc>
          <w:tcPr>
            <w:tcW w:w="465" w:type="pct"/>
            <w:noWrap/>
            <w:hideMark/>
          </w:tcPr>
          <w:p w:rsidR="00CC4647" w:rsidRPr="00CC4647" w:rsidRDefault="00CC4647" w:rsidP="00CC4647">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2.48</w:t>
            </w:r>
          </w:p>
        </w:tc>
        <w:tc>
          <w:tcPr>
            <w:tcW w:w="465" w:type="pct"/>
            <w:noWrap/>
            <w:hideMark/>
          </w:tcPr>
          <w:p w:rsidR="00CC4647" w:rsidRPr="00CC4647" w:rsidRDefault="00CC4647" w:rsidP="00CC4647">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4.45</w:t>
            </w:r>
          </w:p>
        </w:tc>
        <w:tc>
          <w:tcPr>
            <w:tcW w:w="511" w:type="pct"/>
            <w:noWrap/>
            <w:hideMark/>
          </w:tcPr>
          <w:p w:rsidR="00CC4647" w:rsidRPr="00CC4647" w:rsidRDefault="00CC4647" w:rsidP="00CC4647">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22.27</w:t>
            </w:r>
          </w:p>
        </w:tc>
      </w:tr>
      <w:tr w:rsidR="00CC4647" w:rsidRPr="00CC4647" w:rsidTr="00CC4647">
        <w:trPr>
          <w:trHeight w:val="186"/>
        </w:trPr>
        <w:tc>
          <w:tcPr>
            <w:cnfStyle w:val="001000000000" w:firstRow="0" w:lastRow="0" w:firstColumn="1" w:lastColumn="0" w:oddVBand="0" w:evenVBand="0" w:oddHBand="0" w:evenHBand="0" w:firstRowFirstColumn="0" w:firstRowLastColumn="0" w:lastRowFirstColumn="0" w:lastRowLastColumn="0"/>
            <w:tcW w:w="1419" w:type="pct"/>
            <w:noWrap/>
            <w:hideMark/>
          </w:tcPr>
          <w:p w:rsidR="00CC4647" w:rsidRPr="00CC4647" w:rsidRDefault="00CC4647" w:rsidP="00CC4647">
            <w:pPr>
              <w:jc w:val="left"/>
              <w:rPr>
                <w:rFonts w:ascii="Calibri" w:eastAsia="Times New Roman" w:hAnsi="Calibri" w:cs="Calibri"/>
                <w:color w:val="000000"/>
                <w:sz w:val="18"/>
                <w:szCs w:val="18"/>
              </w:rPr>
            </w:pPr>
            <w:r w:rsidRPr="00CC4647">
              <w:rPr>
                <w:rFonts w:ascii="Calibri" w:eastAsia="Times New Roman" w:hAnsi="Calibri" w:cs="Calibri"/>
                <w:color w:val="000000"/>
                <w:sz w:val="18"/>
                <w:szCs w:val="18"/>
              </w:rPr>
              <w:t>PercentFemale</w:t>
            </w:r>
          </w:p>
        </w:tc>
        <w:tc>
          <w:tcPr>
            <w:tcW w:w="329" w:type="pct"/>
            <w:noWrap/>
            <w:hideMark/>
          </w:tcPr>
          <w:p w:rsidR="00CC4647" w:rsidRPr="00CC4647" w:rsidRDefault="00CC4647" w:rsidP="00CC464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C4647">
              <w:rPr>
                <w:rFonts w:ascii="Calibri" w:eastAsia="Times New Roman" w:hAnsi="Calibri" w:cs="Calibri"/>
                <w:color w:val="000000"/>
                <w:sz w:val="18"/>
                <w:szCs w:val="18"/>
              </w:rPr>
              <w:t>360</w:t>
            </w:r>
          </w:p>
        </w:tc>
        <w:tc>
          <w:tcPr>
            <w:tcW w:w="465" w:type="pct"/>
            <w:noWrap/>
            <w:hideMark/>
          </w:tcPr>
          <w:p w:rsidR="00CC4647" w:rsidRPr="00CC4647" w:rsidRDefault="00CC4647" w:rsidP="00CC4647">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50.62</w:t>
            </w:r>
          </w:p>
        </w:tc>
        <w:tc>
          <w:tcPr>
            <w:tcW w:w="417" w:type="pct"/>
            <w:noWrap/>
            <w:hideMark/>
          </w:tcPr>
          <w:p w:rsidR="00CC4647" w:rsidRPr="00CC4647" w:rsidRDefault="00CC4647" w:rsidP="00CC4647">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1.08</w:t>
            </w:r>
          </w:p>
        </w:tc>
        <w:tc>
          <w:tcPr>
            <w:tcW w:w="465" w:type="pct"/>
            <w:noWrap/>
            <w:hideMark/>
          </w:tcPr>
          <w:p w:rsidR="00CC4647" w:rsidRPr="00CC4647" w:rsidRDefault="00CC4647" w:rsidP="00CC4647">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44.34</w:t>
            </w:r>
          </w:p>
        </w:tc>
        <w:tc>
          <w:tcPr>
            <w:tcW w:w="465" w:type="pct"/>
            <w:noWrap/>
            <w:hideMark/>
          </w:tcPr>
          <w:p w:rsidR="00CC4647" w:rsidRPr="00CC4647" w:rsidRDefault="00CC4647" w:rsidP="00CC4647">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50.07</w:t>
            </w:r>
          </w:p>
        </w:tc>
        <w:tc>
          <w:tcPr>
            <w:tcW w:w="465" w:type="pct"/>
            <w:noWrap/>
            <w:hideMark/>
          </w:tcPr>
          <w:p w:rsidR="00CC4647" w:rsidRPr="00CC4647" w:rsidRDefault="00CC4647" w:rsidP="00CC4647">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50.78</w:t>
            </w:r>
          </w:p>
        </w:tc>
        <w:tc>
          <w:tcPr>
            <w:tcW w:w="465" w:type="pct"/>
            <w:noWrap/>
            <w:hideMark/>
          </w:tcPr>
          <w:p w:rsidR="00CC4647" w:rsidRPr="00CC4647" w:rsidRDefault="00CC4647" w:rsidP="00CC4647">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51.33</w:t>
            </w:r>
          </w:p>
        </w:tc>
        <w:tc>
          <w:tcPr>
            <w:tcW w:w="511" w:type="pct"/>
            <w:noWrap/>
            <w:hideMark/>
          </w:tcPr>
          <w:p w:rsidR="00CC4647" w:rsidRPr="00CC4647" w:rsidRDefault="00CC4647" w:rsidP="00CC4647">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53.18</w:t>
            </w:r>
          </w:p>
        </w:tc>
      </w:tr>
      <w:tr w:rsidR="00CC4647" w:rsidRPr="00CC4647" w:rsidTr="00CC4647">
        <w:trPr>
          <w:cnfStyle w:val="000000100000" w:firstRow="0" w:lastRow="0" w:firstColumn="0" w:lastColumn="0" w:oddVBand="0" w:evenVBand="0" w:oddHBand="1" w:evenHBand="0"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1419" w:type="pct"/>
            <w:noWrap/>
            <w:hideMark/>
          </w:tcPr>
          <w:p w:rsidR="00CC4647" w:rsidRPr="00CC4647" w:rsidRDefault="00CC4647" w:rsidP="00CC4647">
            <w:pPr>
              <w:jc w:val="left"/>
              <w:rPr>
                <w:rFonts w:ascii="Calibri" w:eastAsia="Times New Roman" w:hAnsi="Calibri" w:cs="Calibri"/>
                <w:color w:val="000000"/>
                <w:sz w:val="18"/>
                <w:szCs w:val="18"/>
              </w:rPr>
            </w:pPr>
            <w:r w:rsidRPr="00CC4647">
              <w:rPr>
                <w:rFonts w:ascii="Calibri" w:eastAsia="Times New Roman" w:hAnsi="Calibri" w:cs="Calibri"/>
                <w:color w:val="000000"/>
                <w:sz w:val="18"/>
                <w:szCs w:val="18"/>
              </w:rPr>
              <w:t>Percent25_44</w:t>
            </w:r>
          </w:p>
        </w:tc>
        <w:tc>
          <w:tcPr>
            <w:tcW w:w="329" w:type="pct"/>
            <w:noWrap/>
            <w:hideMark/>
          </w:tcPr>
          <w:p w:rsidR="00CC4647" w:rsidRPr="00CC4647" w:rsidRDefault="00CC4647" w:rsidP="00CC464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C4647">
              <w:rPr>
                <w:rFonts w:ascii="Calibri" w:eastAsia="Times New Roman" w:hAnsi="Calibri" w:cs="Calibri"/>
                <w:color w:val="000000"/>
                <w:sz w:val="18"/>
                <w:szCs w:val="18"/>
              </w:rPr>
              <w:t>360</w:t>
            </w:r>
          </w:p>
        </w:tc>
        <w:tc>
          <w:tcPr>
            <w:tcW w:w="465" w:type="pct"/>
            <w:noWrap/>
            <w:hideMark/>
          </w:tcPr>
          <w:p w:rsidR="00CC4647" w:rsidRPr="00CC4647" w:rsidRDefault="00CC4647" w:rsidP="00CC4647">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25.18</w:t>
            </w:r>
          </w:p>
        </w:tc>
        <w:tc>
          <w:tcPr>
            <w:tcW w:w="417" w:type="pct"/>
            <w:noWrap/>
            <w:hideMark/>
          </w:tcPr>
          <w:p w:rsidR="00CC4647" w:rsidRPr="00CC4647" w:rsidRDefault="00CC4647" w:rsidP="00CC4647">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2.46</w:t>
            </w:r>
          </w:p>
        </w:tc>
        <w:tc>
          <w:tcPr>
            <w:tcW w:w="465" w:type="pct"/>
            <w:noWrap/>
            <w:hideMark/>
          </w:tcPr>
          <w:p w:rsidR="00CC4647" w:rsidRPr="00CC4647" w:rsidRDefault="00CC4647" w:rsidP="00CC4647">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12.20</w:t>
            </w:r>
          </w:p>
        </w:tc>
        <w:tc>
          <w:tcPr>
            <w:tcW w:w="465" w:type="pct"/>
            <w:noWrap/>
            <w:hideMark/>
          </w:tcPr>
          <w:p w:rsidR="00CC4647" w:rsidRPr="00CC4647" w:rsidRDefault="00CC4647" w:rsidP="00CC4647">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23.89</w:t>
            </w:r>
          </w:p>
        </w:tc>
        <w:tc>
          <w:tcPr>
            <w:tcW w:w="465" w:type="pct"/>
            <w:noWrap/>
            <w:hideMark/>
          </w:tcPr>
          <w:p w:rsidR="00CC4647" w:rsidRPr="00CC4647" w:rsidRDefault="00CC4647" w:rsidP="00CC4647">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25.10</w:t>
            </w:r>
          </w:p>
        </w:tc>
        <w:tc>
          <w:tcPr>
            <w:tcW w:w="465" w:type="pct"/>
            <w:noWrap/>
            <w:hideMark/>
          </w:tcPr>
          <w:p w:rsidR="00CC4647" w:rsidRPr="00CC4647" w:rsidRDefault="00CC4647" w:rsidP="00CC4647">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26.62</w:t>
            </w:r>
          </w:p>
        </w:tc>
        <w:tc>
          <w:tcPr>
            <w:tcW w:w="511" w:type="pct"/>
            <w:noWrap/>
            <w:hideMark/>
          </w:tcPr>
          <w:p w:rsidR="00CC4647" w:rsidRPr="00CC4647" w:rsidRDefault="00CC4647" w:rsidP="00CC4647">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CC4647">
              <w:rPr>
                <w:rFonts w:ascii="Calibri" w:hAnsi="Calibri" w:cs="Calibri"/>
                <w:color w:val="000000"/>
                <w:sz w:val="18"/>
                <w:szCs w:val="18"/>
              </w:rPr>
              <w:t>32.80</w:t>
            </w:r>
          </w:p>
        </w:tc>
      </w:tr>
    </w:tbl>
    <w:p w:rsidR="0047613E" w:rsidRDefault="0047613E" w:rsidP="0047613E"/>
    <w:p w:rsidR="008654A0" w:rsidRDefault="008654A0" w:rsidP="0047613E">
      <w:r>
        <w:t>Many of these variables are right-skewed, and they were log-transformed before regression.</w:t>
      </w:r>
    </w:p>
    <w:p w:rsidR="00CC4647" w:rsidRDefault="0047613E" w:rsidP="0047613E">
      <w:pPr>
        <w:pStyle w:val="Heading2"/>
      </w:pPr>
      <w:r>
        <w:t>Descriptive Graphs</w:t>
      </w:r>
    </w:p>
    <w:p w:rsidR="0047613E" w:rsidRDefault="0047613E" w:rsidP="0047613E">
      <w:r>
        <w:t xml:space="preserve">The following graphs divide the data into quartiles of selected explanatory variables, and plot it against (the logarithm of) the Land Density of Breweries (number of </w:t>
      </w:r>
      <w:r w:rsidR="00D1273E">
        <w:t>breweries per 100 square miles).</w:t>
      </w:r>
    </w:p>
    <w:p w:rsidR="00D1273E" w:rsidRPr="0047613E" w:rsidRDefault="00D1273E" w:rsidP="0047613E">
      <w:r>
        <w:t>The pattern that arises is that Housing Density and Education levels are highly correlated with the Density of Breweries over land.  Similar analysis was done for Brewery Density over hundred thousand people, with much weaker results.</w:t>
      </w:r>
    </w:p>
    <w:tbl>
      <w:tblPr>
        <w:tblStyle w:val="TableGrid"/>
        <w:tblW w:w="0" w:type="auto"/>
        <w:tblLook w:val="04A0" w:firstRow="1" w:lastRow="0" w:firstColumn="1" w:lastColumn="0" w:noHBand="0" w:noVBand="1"/>
      </w:tblPr>
      <w:tblGrid>
        <w:gridCol w:w="3116"/>
        <w:gridCol w:w="3117"/>
        <w:gridCol w:w="3117"/>
      </w:tblGrid>
      <w:tr w:rsidR="0047613E" w:rsidTr="0047613E">
        <w:tc>
          <w:tcPr>
            <w:tcW w:w="3116" w:type="dxa"/>
          </w:tcPr>
          <w:p w:rsidR="0047613E" w:rsidRDefault="0047613E" w:rsidP="00D1273E">
            <w:pPr>
              <w:keepNext/>
              <w:rPr>
                <w:noProof/>
              </w:rPr>
            </w:pPr>
            <w:r>
              <w:rPr>
                <w:noProof/>
              </w:rPr>
              <w:lastRenderedPageBreak/>
              <w:t xml:space="preserve">By </w:t>
            </w:r>
            <w:r w:rsidR="00D1273E">
              <w:rPr>
                <w:noProof/>
              </w:rPr>
              <w:t>q</w:t>
            </w:r>
            <w:r>
              <w:rPr>
                <w:noProof/>
              </w:rPr>
              <w:t>uartiles of income</w:t>
            </w:r>
          </w:p>
        </w:tc>
        <w:tc>
          <w:tcPr>
            <w:tcW w:w="3117" w:type="dxa"/>
          </w:tcPr>
          <w:p w:rsidR="0047613E" w:rsidRDefault="0047613E" w:rsidP="00D1273E">
            <w:pPr>
              <w:keepNext/>
            </w:pPr>
            <w:r>
              <w:t>By quartiles of the job-population ratio</w:t>
            </w:r>
          </w:p>
        </w:tc>
        <w:tc>
          <w:tcPr>
            <w:tcW w:w="3117" w:type="dxa"/>
          </w:tcPr>
          <w:p w:rsidR="0047613E" w:rsidRDefault="00D1273E" w:rsidP="00D1273E">
            <w:pPr>
              <w:keepNext/>
            </w:pPr>
            <w:r>
              <w:t>By quartiles of Education</w:t>
            </w:r>
          </w:p>
        </w:tc>
      </w:tr>
      <w:tr w:rsidR="0047613E" w:rsidTr="0047613E">
        <w:tc>
          <w:tcPr>
            <w:tcW w:w="3116" w:type="dxa"/>
          </w:tcPr>
          <w:p w:rsidR="0047613E" w:rsidRDefault="0047613E" w:rsidP="00187F91">
            <w:r>
              <w:rPr>
                <w:noProof/>
              </w:rPr>
              <w:drawing>
                <wp:inline distT="0" distB="0" distL="0" distR="0">
                  <wp:extent cx="1920240" cy="1195149"/>
                  <wp:effectExtent l="0" t="0" r="381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0C1610.tmp"/>
                          <pic:cNvPicPr/>
                        </pic:nvPicPr>
                        <pic:blipFill>
                          <a:blip r:embed="rId13">
                            <a:extLst>
                              <a:ext uri="{28A0092B-C50C-407E-A947-70E740481C1C}">
                                <a14:useLocalDpi xmlns:a14="http://schemas.microsoft.com/office/drawing/2010/main" val="0"/>
                              </a:ext>
                            </a:extLst>
                          </a:blip>
                          <a:stretch>
                            <a:fillRect/>
                          </a:stretch>
                        </pic:blipFill>
                        <pic:spPr>
                          <a:xfrm>
                            <a:off x="0" y="0"/>
                            <a:ext cx="1920240" cy="1195149"/>
                          </a:xfrm>
                          <a:prstGeom prst="rect">
                            <a:avLst/>
                          </a:prstGeom>
                        </pic:spPr>
                      </pic:pic>
                    </a:graphicData>
                  </a:graphic>
                </wp:inline>
              </w:drawing>
            </w:r>
          </w:p>
        </w:tc>
        <w:tc>
          <w:tcPr>
            <w:tcW w:w="3117" w:type="dxa"/>
          </w:tcPr>
          <w:p w:rsidR="0047613E" w:rsidRDefault="0047613E" w:rsidP="00187F91">
            <w:r>
              <w:rPr>
                <w:noProof/>
              </w:rPr>
              <w:drawing>
                <wp:inline distT="0" distB="0" distL="0" distR="0">
                  <wp:extent cx="1920240" cy="121981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0C9E76.tmp"/>
                          <pic:cNvPicPr/>
                        </pic:nvPicPr>
                        <pic:blipFill rotWithShape="1">
                          <a:blip r:embed="rId14">
                            <a:extLst>
                              <a:ext uri="{28A0092B-C50C-407E-A947-70E740481C1C}">
                                <a14:useLocalDpi xmlns:a14="http://schemas.microsoft.com/office/drawing/2010/main" val="0"/>
                              </a:ext>
                            </a:extLst>
                          </a:blip>
                          <a:srcRect b="5337"/>
                          <a:stretch/>
                        </pic:blipFill>
                        <pic:spPr bwMode="auto">
                          <a:xfrm>
                            <a:off x="0" y="0"/>
                            <a:ext cx="1920240" cy="1219810"/>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tcPr>
          <w:p w:rsidR="0047613E" w:rsidRDefault="0047613E" w:rsidP="00187F91">
            <w:r>
              <w:rPr>
                <w:noProof/>
              </w:rPr>
              <w:drawing>
                <wp:inline distT="0" distB="0" distL="0" distR="0">
                  <wp:extent cx="1920240" cy="1223338"/>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0C583D.tmp"/>
                          <pic:cNvPicPr/>
                        </pic:nvPicPr>
                        <pic:blipFill>
                          <a:blip r:embed="rId15">
                            <a:extLst>
                              <a:ext uri="{28A0092B-C50C-407E-A947-70E740481C1C}">
                                <a14:useLocalDpi xmlns:a14="http://schemas.microsoft.com/office/drawing/2010/main" val="0"/>
                              </a:ext>
                            </a:extLst>
                          </a:blip>
                          <a:stretch>
                            <a:fillRect/>
                          </a:stretch>
                        </pic:blipFill>
                        <pic:spPr>
                          <a:xfrm>
                            <a:off x="0" y="0"/>
                            <a:ext cx="1920240" cy="1223338"/>
                          </a:xfrm>
                          <a:prstGeom prst="rect">
                            <a:avLst/>
                          </a:prstGeom>
                        </pic:spPr>
                      </pic:pic>
                    </a:graphicData>
                  </a:graphic>
                </wp:inline>
              </w:drawing>
            </w:r>
          </w:p>
        </w:tc>
      </w:tr>
      <w:tr w:rsidR="00D1273E" w:rsidTr="0047613E">
        <w:tc>
          <w:tcPr>
            <w:tcW w:w="3116" w:type="dxa"/>
          </w:tcPr>
          <w:p w:rsidR="00D1273E" w:rsidRDefault="00D1273E" w:rsidP="00D1273E">
            <w:pPr>
              <w:rPr>
                <w:noProof/>
              </w:rPr>
            </w:pPr>
            <w:r>
              <w:rPr>
                <w:noProof/>
              </w:rPr>
              <w:t>By quartiles of Population Density</w:t>
            </w:r>
          </w:p>
        </w:tc>
        <w:tc>
          <w:tcPr>
            <w:tcW w:w="3117" w:type="dxa"/>
          </w:tcPr>
          <w:p w:rsidR="00D1273E" w:rsidRDefault="00D1273E" w:rsidP="00D1273E">
            <w:r>
              <w:t xml:space="preserve">By quartiles of </w:t>
            </w:r>
            <w:r>
              <w:rPr>
                <w:noProof/>
              </w:rPr>
              <w:t>Housing Density</w:t>
            </w:r>
          </w:p>
        </w:tc>
        <w:tc>
          <w:tcPr>
            <w:tcW w:w="3117" w:type="dxa"/>
          </w:tcPr>
          <w:p w:rsidR="00D1273E" w:rsidRDefault="00D1273E" w:rsidP="00D1273E">
            <w:r>
              <w:t>By quartiles of Density of Bars</w:t>
            </w:r>
          </w:p>
        </w:tc>
      </w:tr>
      <w:tr w:rsidR="00D1273E" w:rsidTr="0047613E">
        <w:tc>
          <w:tcPr>
            <w:tcW w:w="3116" w:type="dxa"/>
          </w:tcPr>
          <w:p w:rsidR="00D1273E" w:rsidRDefault="00D1273E" w:rsidP="00D1273E">
            <w:pPr>
              <w:rPr>
                <w:noProof/>
              </w:rPr>
            </w:pPr>
            <w:r>
              <w:rPr>
                <w:noProof/>
              </w:rPr>
              <w:drawing>
                <wp:inline distT="0" distB="0" distL="0" distR="0">
                  <wp:extent cx="1920240" cy="12096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0CBF19.tmp"/>
                          <pic:cNvPicPr/>
                        </pic:nvPicPr>
                        <pic:blipFill>
                          <a:blip r:embed="rId16">
                            <a:extLst>
                              <a:ext uri="{28A0092B-C50C-407E-A947-70E740481C1C}">
                                <a14:useLocalDpi xmlns:a14="http://schemas.microsoft.com/office/drawing/2010/main" val="0"/>
                              </a:ext>
                            </a:extLst>
                          </a:blip>
                          <a:stretch>
                            <a:fillRect/>
                          </a:stretch>
                        </pic:blipFill>
                        <pic:spPr>
                          <a:xfrm>
                            <a:off x="0" y="0"/>
                            <a:ext cx="1920240" cy="1209600"/>
                          </a:xfrm>
                          <a:prstGeom prst="rect">
                            <a:avLst/>
                          </a:prstGeom>
                        </pic:spPr>
                      </pic:pic>
                    </a:graphicData>
                  </a:graphic>
                </wp:inline>
              </w:drawing>
            </w:r>
          </w:p>
        </w:tc>
        <w:tc>
          <w:tcPr>
            <w:tcW w:w="3117" w:type="dxa"/>
          </w:tcPr>
          <w:p w:rsidR="00D1273E" w:rsidRDefault="00D1273E" w:rsidP="00D1273E">
            <w:r>
              <w:rPr>
                <w:noProof/>
              </w:rPr>
              <w:drawing>
                <wp:inline distT="0" distB="0" distL="0" distR="0">
                  <wp:extent cx="1920240" cy="1211460"/>
                  <wp:effectExtent l="0" t="0" r="381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0CF59B.tmp"/>
                          <pic:cNvPicPr/>
                        </pic:nvPicPr>
                        <pic:blipFill>
                          <a:blip r:embed="rId17">
                            <a:extLst>
                              <a:ext uri="{28A0092B-C50C-407E-A947-70E740481C1C}">
                                <a14:useLocalDpi xmlns:a14="http://schemas.microsoft.com/office/drawing/2010/main" val="0"/>
                              </a:ext>
                            </a:extLst>
                          </a:blip>
                          <a:stretch>
                            <a:fillRect/>
                          </a:stretch>
                        </pic:blipFill>
                        <pic:spPr>
                          <a:xfrm>
                            <a:off x="0" y="0"/>
                            <a:ext cx="1920240" cy="1211460"/>
                          </a:xfrm>
                          <a:prstGeom prst="rect">
                            <a:avLst/>
                          </a:prstGeom>
                        </pic:spPr>
                      </pic:pic>
                    </a:graphicData>
                  </a:graphic>
                </wp:inline>
              </w:drawing>
            </w:r>
          </w:p>
        </w:tc>
        <w:tc>
          <w:tcPr>
            <w:tcW w:w="3117" w:type="dxa"/>
          </w:tcPr>
          <w:p w:rsidR="00D1273E" w:rsidRDefault="00D1273E" w:rsidP="00D1273E">
            <w:r>
              <w:rPr>
                <w:noProof/>
              </w:rPr>
              <w:drawing>
                <wp:inline distT="0" distB="0" distL="0" distR="0">
                  <wp:extent cx="1920240" cy="1216487"/>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0C6FAE.tmp"/>
                          <pic:cNvPicPr/>
                        </pic:nvPicPr>
                        <pic:blipFill>
                          <a:blip r:embed="rId18">
                            <a:extLst>
                              <a:ext uri="{28A0092B-C50C-407E-A947-70E740481C1C}">
                                <a14:useLocalDpi xmlns:a14="http://schemas.microsoft.com/office/drawing/2010/main" val="0"/>
                              </a:ext>
                            </a:extLst>
                          </a:blip>
                          <a:stretch>
                            <a:fillRect/>
                          </a:stretch>
                        </pic:blipFill>
                        <pic:spPr>
                          <a:xfrm>
                            <a:off x="0" y="0"/>
                            <a:ext cx="1920240" cy="1216487"/>
                          </a:xfrm>
                          <a:prstGeom prst="rect">
                            <a:avLst/>
                          </a:prstGeom>
                        </pic:spPr>
                      </pic:pic>
                    </a:graphicData>
                  </a:graphic>
                </wp:inline>
              </w:drawing>
            </w:r>
          </w:p>
        </w:tc>
      </w:tr>
      <w:tr w:rsidR="00D1273E" w:rsidTr="0047613E">
        <w:tc>
          <w:tcPr>
            <w:tcW w:w="3116" w:type="dxa"/>
          </w:tcPr>
          <w:p w:rsidR="00D1273E" w:rsidRDefault="00D1273E" w:rsidP="00D1273E">
            <w:pPr>
              <w:rPr>
                <w:noProof/>
              </w:rPr>
            </w:pPr>
            <w:r>
              <w:rPr>
                <w:noProof/>
              </w:rPr>
              <w:t>By quartiles of % Female</w:t>
            </w:r>
          </w:p>
        </w:tc>
        <w:tc>
          <w:tcPr>
            <w:tcW w:w="3117" w:type="dxa"/>
          </w:tcPr>
          <w:p w:rsidR="00D1273E" w:rsidRDefault="00D1273E" w:rsidP="00D1273E">
            <w:r>
              <w:t xml:space="preserve">By quartiles of </w:t>
            </w:r>
            <w:r>
              <w:rPr>
                <w:noProof/>
              </w:rPr>
              <w:t>25-44 year olds</w:t>
            </w:r>
          </w:p>
        </w:tc>
        <w:tc>
          <w:tcPr>
            <w:tcW w:w="3117" w:type="dxa"/>
          </w:tcPr>
          <w:p w:rsidR="00D1273E" w:rsidRDefault="00D1273E" w:rsidP="00D1273E"/>
        </w:tc>
      </w:tr>
      <w:tr w:rsidR="00D1273E" w:rsidTr="0047613E">
        <w:tc>
          <w:tcPr>
            <w:tcW w:w="3116" w:type="dxa"/>
          </w:tcPr>
          <w:p w:rsidR="00D1273E" w:rsidRDefault="00D1273E" w:rsidP="00D1273E">
            <w:pPr>
              <w:rPr>
                <w:noProof/>
              </w:rPr>
            </w:pPr>
            <w:r>
              <w:rPr>
                <w:noProof/>
              </w:rPr>
              <w:drawing>
                <wp:inline distT="0" distB="0" distL="0" distR="0">
                  <wp:extent cx="1920240" cy="1198270"/>
                  <wp:effectExtent l="0" t="0" r="381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0C26EA.tmp"/>
                          <pic:cNvPicPr/>
                        </pic:nvPicPr>
                        <pic:blipFill>
                          <a:blip r:embed="rId19">
                            <a:extLst>
                              <a:ext uri="{28A0092B-C50C-407E-A947-70E740481C1C}">
                                <a14:useLocalDpi xmlns:a14="http://schemas.microsoft.com/office/drawing/2010/main" val="0"/>
                              </a:ext>
                            </a:extLst>
                          </a:blip>
                          <a:stretch>
                            <a:fillRect/>
                          </a:stretch>
                        </pic:blipFill>
                        <pic:spPr>
                          <a:xfrm>
                            <a:off x="0" y="0"/>
                            <a:ext cx="1920240" cy="1198270"/>
                          </a:xfrm>
                          <a:prstGeom prst="rect">
                            <a:avLst/>
                          </a:prstGeom>
                        </pic:spPr>
                      </pic:pic>
                    </a:graphicData>
                  </a:graphic>
                </wp:inline>
              </w:drawing>
            </w:r>
          </w:p>
        </w:tc>
        <w:tc>
          <w:tcPr>
            <w:tcW w:w="3117" w:type="dxa"/>
          </w:tcPr>
          <w:p w:rsidR="00D1273E" w:rsidRDefault="00D1273E" w:rsidP="00D1273E">
            <w:r>
              <w:rPr>
                <w:noProof/>
              </w:rPr>
              <w:drawing>
                <wp:inline distT="0" distB="0" distL="0" distR="0">
                  <wp:extent cx="1920240" cy="1229760"/>
                  <wp:effectExtent l="0" t="0" r="381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0C64CE.tmp"/>
                          <pic:cNvPicPr/>
                        </pic:nvPicPr>
                        <pic:blipFill>
                          <a:blip r:embed="rId20">
                            <a:extLst>
                              <a:ext uri="{28A0092B-C50C-407E-A947-70E740481C1C}">
                                <a14:useLocalDpi xmlns:a14="http://schemas.microsoft.com/office/drawing/2010/main" val="0"/>
                              </a:ext>
                            </a:extLst>
                          </a:blip>
                          <a:stretch>
                            <a:fillRect/>
                          </a:stretch>
                        </pic:blipFill>
                        <pic:spPr>
                          <a:xfrm>
                            <a:off x="0" y="0"/>
                            <a:ext cx="1920240" cy="1229760"/>
                          </a:xfrm>
                          <a:prstGeom prst="rect">
                            <a:avLst/>
                          </a:prstGeom>
                        </pic:spPr>
                      </pic:pic>
                    </a:graphicData>
                  </a:graphic>
                </wp:inline>
              </w:drawing>
            </w:r>
          </w:p>
        </w:tc>
        <w:tc>
          <w:tcPr>
            <w:tcW w:w="3117" w:type="dxa"/>
          </w:tcPr>
          <w:p w:rsidR="00D1273E" w:rsidRDefault="00D1273E" w:rsidP="00D1273E"/>
        </w:tc>
      </w:tr>
    </w:tbl>
    <w:p w:rsidR="00946E7A" w:rsidRDefault="00946E7A" w:rsidP="00187F91"/>
    <w:tbl>
      <w:tblPr>
        <w:tblW w:w="5000" w:type="pct"/>
        <w:tblLook w:val="04A0" w:firstRow="1" w:lastRow="0" w:firstColumn="1" w:lastColumn="0" w:noHBand="0" w:noVBand="1"/>
      </w:tblPr>
      <w:tblGrid>
        <w:gridCol w:w="1872"/>
        <w:gridCol w:w="1018"/>
        <w:gridCol w:w="621"/>
        <w:gridCol w:w="1061"/>
        <w:gridCol w:w="687"/>
        <w:gridCol w:w="739"/>
        <w:gridCol w:w="934"/>
        <w:gridCol w:w="981"/>
        <w:gridCol w:w="748"/>
        <w:gridCol w:w="699"/>
      </w:tblGrid>
      <w:tr w:rsidR="00D1273E" w:rsidRPr="00D1273E" w:rsidTr="0059453D">
        <w:trPr>
          <w:cantSplit/>
          <w:trHeight w:val="1134"/>
        </w:trPr>
        <w:tc>
          <w:tcPr>
            <w:tcW w:w="991" w:type="pct"/>
            <w:tcBorders>
              <w:top w:val="nil"/>
              <w:left w:val="nil"/>
              <w:bottom w:val="nil"/>
              <w:right w:val="nil"/>
            </w:tcBorders>
            <w:shd w:val="clear" w:color="auto" w:fill="auto"/>
            <w:noWrap/>
            <w:vAlign w:val="bottom"/>
            <w:hideMark/>
          </w:tcPr>
          <w:p w:rsidR="00D1273E" w:rsidRPr="00D1273E" w:rsidRDefault="00D1273E" w:rsidP="00D1273E">
            <w:pPr>
              <w:spacing w:after="0" w:line="240" w:lineRule="auto"/>
              <w:jc w:val="left"/>
              <w:rPr>
                <w:rFonts w:ascii="Times New Roman" w:eastAsia="Times New Roman" w:hAnsi="Times New Roman" w:cs="Times New Roman"/>
                <w:sz w:val="18"/>
                <w:szCs w:val="18"/>
              </w:rPr>
            </w:pPr>
          </w:p>
        </w:tc>
        <w:tc>
          <w:tcPr>
            <w:tcW w:w="545" w:type="pct"/>
            <w:tcBorders>
              <w:top w:val="nil"/>
              <w:left w:val="nil"/>
              <w:bottom w:val="nil"/>
              <w:right w:val="nil"/>
            </w:tcBorders>
            <w:shd w:val="clear" w:color="auto" w:fill="auto"/>
            <w:noWrap/>
            <w:textDirection w:val="tbRl"/>
            <w:vAlign w:val="bottom"/>
            <w:hideMark/>
          </w:tcPr>
          <w:p w:rsidR="00D1273E" w:rsidRPr="00D1273E" w:rsidRDefault="00E34B5B" w:rsidP="00D1273E">
            <w:pPr>
              <w:spacing w:after="0" w:line="240" w:lineRule="auto"/>
              <w:ind w:left="113" w:right="113"/>
              <w:jc w:val="left"/>
              <w:rPr>
                <w:rFonts w:ascii="Calibri" w:eastAsia="Times New Roman" w:hAnsi="Calibri" w:cs="Calibri"/>
                <w:color w:val="000000"/>
                <w:sz w:val="18"/>
                <w:szCs w:val="18"/>
              </w:rPr>
            </w:pPr>
            <w:r>
              <w:rPr>
                <w:rFonts w:ascii="Calibri" w:eastAsia="Times New Roman" w:hAnsi="Calibri" w:cs="Calibri"/>
                <w:color w:val="000000"/>
                <w:sz w:val="18"/>
                <w:szCs w:val="18"/>
              </w:rPr>
              <w:t xml:space="preserve">Log </w:t>
            </w:r>
            <w:r w:rsidR="00D1273E" w:rsidRPr="00D1273E">
              <w:rPr>
                <w:rFonts w:ascii="Calibri" w:eastAsia="Times New Roman" w:hAnsi="Calibri" w:cs="Calibri"/>
                <w:color w:val="000000"/>
                <w:sz w:val="18"/>
                <w:szCs w:val="18"/>
              </w:rPr>
              <w:t>Brew</w:t>
            </w:r>
            <w:r w:rsidR="0059453D">
              <w:rPr>
                <w:rFonts w:ascii="Calibri" w:eastAsia="Times New Roman" w:hAnsi="Calibri" w:cs="Calibri"/>
                <w:color w:val="000000"/>
                <w:sz w:val="18"/>
                <w:szCs w:val="18"/>
              </w:rPr>
              <w:t xml:space="preserve"> </w:t>
            </w:r>
            <w:r w:rsidR="00D1273E" w:rsidRPr="00D1273E">
              <w:rPr>
                <w:rFonts w:ascii="Calibri" w:eastAsia="Times New Roman" w:hAnsi="Calibri" w:cs="Calibri"/>
                <w:color w:val="000000"/>
                <w:sz w:val="18"/>
                <w:szCs w:val="18"/>
              </w:rPr>
              <w:t>Density</w:t>
            </w:r>
            <w:r w:rsidR="0059453D">
              <w:rPr>
                <w:rFonts w:ascii="Calibri" w:eastAsia="Times New Roman" w:hAnsi="Calibri" w:cs="Calibri"/>
                <w:color w:val="000000"/>
                <w:sz w:val="18"/>
                <w:szCs w:val="18"/>
              </w:rPr>
              <w:t xml:space="preserve"> </w:t>
            </w:r>
            <w:r w:rsidR="00D1273E" w:rsidRPr="00D1273E">
              <w:rPr>
                <w:rFonts w:ascii="Calibri" w:eastAsia="Times New Roman" w:hAnsi="Calibri" w:cs="Calibri"/>
                <w:color w:val="000000"/>
                <w:sz w:val="18"/>
                <w:szCs w:val="18"/>
              </w:rPr>
              <w:t>Land</w:t>
            </w:r>
          </w:p>
        </w:tc>
        <w:tc>
          <w:tcPr>
            <w:tcW w:w="333" w:type="pct"/>
            <w:tcBorders>
              <w:top w:val="nil"/>
              <w:left w:val="nil"/>
              <w:bottom w:val="nil"/>
              <w:right w:val="nil"/>
            </w:tcBorders>
            <w:shd w:val="clear" w:color="auto" w:fill="auto"/>
            <w:noWrap/>
            <w:textDirection w:val="tbRl"/>
            <w:vAlign w:val="bottom"/>
            <w:hideMark/>
          </w:tcPr>
          <w:p w:rsidR="00D1273E" w:rsidRPr="00D1273E" w:rsidRDefault="00D1273E" w:rsidP="00D1273E">
            <w:pPr>
              <w:spacing w:after="0" w:line="240" w:lineRule="auto"/>
              <w:ind w:left="113" w:right="113"/>
              <w:jc w:val="left"/>
              <w:rPr>
                <w:rFonts w:ascii="Calibri" w:eastAsia="Times New Roman" w:hAnsi="Calibri" w:cs="Calibri"/>
                <w:color w:val="000000"/>
                <w:sz w:val="18"/>
                <w:szCs w:val="18"/>
              </w:rPr>
            </w:pPr>
            <w:r w:rsidRPr="00D1273E">
              <w:rPr>
                <w:rFonts w:ascii="Calibri" w:eastAsia="Times New Roman" w:hAnsi="Calibri" w:cs="Calibri"/>
                <w:color w:val="000000"/>
                <w:sz w:val="18"/>
                <w:szCs w:val="18"/>
              </w:rPr>
              <w:t>Jobs-Population Ratio</w:t>
            </w:r>
          </w:p>
        </w:tc>
        <w:tc>
          <w:tcPr>
            <w:tcW w:w="568" w:type="pct"/>
            <w:tcBorders>
              <w:top w:val="nil"/>
              <w:left w:val="nil"/>
              <w:bottom w:val="nil"/>
              <w:right w:val="nil"/>
            </w:tcBorders>
            <w:shd w:val="clear" w:color="auto" w:fill="auto"/>
            <w:noWrap/>
            <w:textDirection w:val="tbRl"/>
            <w:vAlign w:val="bottom"/>
            <w:hideMark/>
          </w:tcPr>
          <w:p w:rsidR="00D1273E" w:rsidRPr="00D1273E" w:rsidRDefault="00E34B5B" w:rsidP="0059453D">
            <w:pPr>
              <w:spacing w:after="0" w:line="240" w:lineRule="auto"/>
              <w:ind w:left="113" w:right="113"/>
              <w:jc w:val="left"/>
              <w:rPr>
                <w:rFonts w:ascii="Calibri" w:eastAsia="Times New Roman" w:hAnsi="Calibri" w:cs="Calibri"/>
                <w:color w:val="000000"/>
                <w:sz w:val="18"/>
                <w:szCs w:val="18"/>
              </w:rPr>
            </w:pPr>
            <w:r>
              <w:rPr>
                <w:rFonts w:ascii="Calibri" w:eastAsia="Times New Roman" w:hAnsi="Calibri" w:cs="Calibri"/>
                <w:color w:val="000000"/>
                <w:sz w:val="18"/>
                <w:szCs w:val="18"/>
              </w:rPr>
              <w:t xml:space="preserve">Log </w:t>
            </w:r>
            <w:r w:rsidR="00D1273E" w:rsidRPr="00D1273E">
              <w:rPr>
                <w:rFonts w:ascii="Calibri" w:eastAsia="Times New Roman" w:hAnsi="Calibri" w:cs="Calibri"/>
                <w:color w:val="000000"/>
                <w:sz w:val="18"/>
                <w:szCs w:val="18"/>
              </w:rPr>
              <w:t>Per</w:t>
            </w:r>
            <w:r w:rsidR="0059453D">
              <w:rPr>
                <w:rFonts w:ascii="Calibri" w:eastAsia="Times New Roman" w:hAnsi="Calibri" w:cs="Calibri"/>
                <w:color w:val="000000"/>
                <w:sz w:val="18"/>
                <w:szCs w:val="18"/>
              </w:rPr>
              <w:t xml:space="preserve"> </w:t>
            </w:r>
            <w:r w:rsidR="00D1273E" w:rsidRPr="00D1273E">
              <w:rPr>
                <w:rFonts w:ascii="Calibri" w:eastAsia="Times New Roman" w:hAnsi="Calibri" w:cs="Calibri"/>
                <w:color w:val="000000"/>
                <w:sz w:val="18"/>
                <w:szCs w:val="18"/>
              </w:rPr>
              <w:t>Capita</w:t>
            </w:r>
            <w:r w:rsidR="0059453D">
              <w:rPr>
                <w:rFonts w:ascii="Calibri" w:eastAsia="Times New Roman" w:hAnsi="Calibri" w:cs="Calibri"/>
                <w:color w:val="000000"/>
                <w:sz w:val="18"/>
                <w:szCs w:val="18"/>
              </w:rPr>
              <w:t xml:space="preserve"> </w:t>
            </w:r>
            <w:r w:rsidR="00D1273E" w:rsidRPr="00D1273E">
              <w:rPr>
                <w:rFonts w:ascii="Calibri" w:eastAsia="Times New Roman" w:hAnsi="Calibri" w:cs="Calibri"/>
                <w:color w:val="000000"/>
                <w:sz w:val="18"/>
                <w:szCs w:val="18"/>
              </w:rPr>
              <w:t>Income</w:t>
            </w:r>
          </w:p>
        </w:tc>
        <w:tc>
          <w:tcPr>
            <w:tcW w:w="368" w:type="pct"/>
            <w:tcBorders>
              <w:top w:val="nil"/>
              <w:left w:val="nil"/>
              <w:bottom w:val="nil"/>
              <w:right w:val="nil"/>
            </w:tcBorders>
            <w:shd w:val="clear" w:color="auto" w:fill="auto"/>
            <w:noWrap/>
            <w:textDirection w:val="tbRl"/>
            <w:vAlign w:val="bottom"/>
            <w:hideMark/>
          </w:tcPr>
          <w:p w:rsidR="00D1273E" w:rsidRPr="00D1273E" w:rsidRDefault="00D1273E" w:rsidP="00D1273E">
            <w:pPr>
              <w:spacing w:after="0" w:line="240" w:lineRule="auto"/>
              <w:ind w:left="113" w:right="113"/>
              <w:jc w:val="left"/>
              <w:rPr>
                <w:rFonts w:ascii="Calibri" w:eastAsia="Times New Roman" w:hAnsi="Calibri" w:cs="Calibri"/>
                <w:color w:val="000000"/>
                <w:sz w:val="18"/>
                <w:szCs w:val="18"/>
              </w:rPr>
            </w:pPr>
            <w:r w:rsidRPr="00D1273E">
              <w:rPr>
                <w:rFonts w:ascii="Calibri" w:eastAsia="Times New Roman" w:hAnsi="Calibri" w:cs="Calibri"/>
                <w:color w:val="000000"/>
                <w:sz w:val="18"/>
                <w:szCs w:val="18"/>
              </w:rPr>
              <w:t>Log</w:t>
            </w:r>
            <w:r w:rsidR="0059453D">
              <w:rPr>
                <w:rFonts w:ascii="Calibri" w:eastAsia="Times New Roman" w:hAnsi="Calibri" w:cs="Calibri"/>
                <w:color w:val="000000"/>
                <w:sz w:val="18"/>
                <w:szCs w:val="18"/>
              </w:rPr>
              <w:t xml:space="preserve"> </w:t>
            </w:r>
            <w:r w:rsidRPr="00D1273E">
              <w:rPr>
                <w:rFonts w:ascii="Calibri" w:eastAsia="Times New Roman" w:hAnsi="Calibri" w:cs="Calibri"/>
                <w:color w:val="000000"/>
                <w:sz w:val="18"/>
                <w:szCs w:val="18"/>
              </w:rPr>
              <w:t>Education</w:t>
            </w:r>
          </w:p>
        </w:tc>
        <w:tc>
          <w:tcPr>
            <w:tcW w:w="396" w:type="pct"/>
            <w:tcBorders>
              <w:top w:val="nil"/>
              <w:left w:val="nil"/>
              <w:bottom w:val="nil"/>
              <w:right w:val="nil"/>
            </w:tcBorders>
            <w:shd w:val="clear" w:color="auto" w:fill="auto"/>
            <w:noWrap/>
            <w:textDirection w:val="tbRl"/>
            <w:vAlign w:val="bottom"/>
            <w:hideMark/>
          </w:tcPr>
          <w:p w:rsidR="00D1273E" w:rsidRPr="00D1273E" w:rsidRDefault="00D1273E" w:rsidP="00D1273E">
            <w:pPr>
              <w:spacing w:after="0" w:line="240" w:lineRule="auto"/>
              <w:ind w:left="113" w:right="113"/>
              <w:jc w:val="left"/>
              <w:rPr>
                <w:rFonts w:ascii="Calibri" w:eastAsia="Times New Roman" w:hAnsi="Calibri" w:cs="Calibri"/>
                <w:color w:val="000000"/>
                <w:sz w:val="18"/>
                <w:szCs w:val="18"/>
              </w:rPr>
            </w:pPr>
            <w:r w:rsidRPr="00D1273E">
              <w:rPr>
                <w:rFonts w:ascii="Calibri" w:eastAsia="Times New Roman" w:hAnsi="Calibri" w:cs="Calibri"/>
                <w:color w:val="000000"/>
                <w:sz w:val="18"/>
                <w:szCs w:val="18"/>
              </w:rPr>
              <w:t>Log</w:t>
            </w:r>
            <w:r w:rsidR="0059453D">
              <w:rPr>
                <w:rFonts w:ascii="Calibri" w:eastAsia="Times New Roman" w:hAnsi="Calibri" w:cs="Calibri"/>
                <w:color w:val="000000"/>
                <w:sz w:val="18"/>
                <w:szCs w:val="18"/>
              </w:rPr>
              <w:t xml:space="preserve"> </w:t>
            </w:r>
            <w:r w:rsidRPr="00D1273E">
              <w:rPr>
                <w:rFonts w:ascii="Calibri" w:eastAsia="Times New Roman" w:hAnsi="Calibri" w:cs="Calibri"/>
                <w:color w:val="000000"/>
                <w:sz w:val="18"/>
                <w:szCs w:val="18"/>
              </w:rPr>
              <w:t>Pop</w:t>
            </w:r>
            <w:r w:rsidR="0059453D">
              <w:rPr>
                <w:rFonts w:ascii="Calibri" w:eastAsia="Times New Roman" w:hAnsi="Calibri" w:cs="Calibri"/>
                <w:color w:val="000000"/>
                <w:sz w:val="18"/>
                <w:szCs w:val="18"/>
              </w:rPr>
              <w:t xml:space="preserve"> </w:t>
            </w:r>
            <w:r w:rsidRPr="00D1273E">
              <w:rPr>
                <w:rFonts w:ascii="Calibri" w:eastAsia="Times New Roman" w:hAnsi="Calibri" w:cs="Calibri"/>
                <w:color w:val="000000"/>
                <w:sz w:val="18"/>
                <w:szCs w:val="18"/>
              </w:rPr>
              <w:t>Density</w:t>
            </w:r>
          </w:p>
        </w:tc>
        <w:tc>
          <w:tcPr>
            <w:tcW w:w="500" w:type="pct"/>
            <w:tcBorders>
              <w:top w:val="nil"/>
              <w:left w:val="nil"/>
              <w:bottom w:val="nil"/>
              <w:right w:val="nil"/>
            </w:tcBorders>
            <w:shd w:val="clear" w:color="auto" w:fill="auto"/>
            <w:noWrap/>
            <w:textDirection w:val="tbRl"/>
            <w:vAlign w:val="bottom"/>
            <w:hideMark/>
          </w:tcPr>
          <w:p w:rsidR="00D1273E" w:rsidRPr="00D1273E" w:rsidRDefault="00D1273E" w:rsidP="00D1273E">
            <w:pPr>
              <w:spacing w:after="0" w:line="240" w:lineRule="auto"/>
              <w:ind w:left="113" w:right="113"/>
              <w:jc w:val="left"/>
              <w:rPr>
                <w:rFonts w:ascii="Calibri" w:eastAsia="Times New Roman" w:hAnsi="Calibri" w:cs="Calibri"/>
                <w:color w:val="000000"/>
                <w:sz w:val="18"/>
                <w:szCs w:val="18"/>
              </w:rPr>
            </w:pPr>
            <w:r w:rsidRPr="00D1273E">
              <w:rPr>
                <w:rFonts w:ascii="Calibri" w:eastAsia="Times New Roman" w:hAnsi="Calibri" w:cs="Calibri"/>
                <w:color w:val="000000"/>
                <w:sz w:val="18"/>
                <w:szCs w:val="18"/>
              </w:rPr>
              <w:t>Log</w:t>
            </w:r>
            <w:r w:rsidR="0059453D">
              <w:rPr>
                <w:rFonts w:ascii="Calibri" w:eastAsia="Times New Roman" w:hAnsi="Calibri" w:cs="Calibri"/>
                <w:color w:val="000000"/>
                <w:sz w:val="18"/>
                <w:szCs w:val="18"/>
              </w:rPr>
              <w:t xml:space="preserve"> </w:t>
            </w:r>
            <w:r w:rsidRPr="00D1273E">
              <w:rPr>
                <w:rFonts w:ascii="Calibri" w:eastAsia="Times New Roman" w:hAnsi="Calibri" w:cs="Calibri"/>
                <w:color w:val="000000"/>
                <w:sz w:val="18"/>
                <w:szCs w:val="18"/>
              </w:rPr>
              <w:t>Housing</w:t>
            </w:r>
            <w:r w:rsidR="0059453D">
              <w:rPr>
                <w:rFonts w:ascii="Calibri" w:eastAsia="Times New Roman" w:hAnsi="Calibri" w:cs="Calibri"/>
                <w:color w:val="000000"/>
                <w:sz w:val="18"/>
                <w:szCs w:val="18"/>
              </w:rPr>
              <w:t xml:space="preserve"> </w:t>
            </w:r>
            <w:r w:rsidRPr="00D1273E">
              <w:rPr>
                <w:rFonts w:ascii="Calibri" w:eastAsia="Times New Roman" w:hAnsi="Calibri" w:cs="Calibri"/>
                <w:color w:val="000000"/>
                <w:sz w:val="18"/>
                <w:szCs w:val="18"/>
              </w:rPr>
              <w:t>Density</w:t>
            </w:r>
          </w:p>
        </w:tc>
        <w:tc>
          <w:tcPr>
            <w:tcW w:w="525" w:type="pct"/>
            <w:tcBorders>
              <w:top w:val="nil"/>
              <w:left w:val="nil"/>
              <w:bottom w:val="nil"/>
              <w:right w:val="nil"/>
            </w:tcBorders>
            <w:shd w:val="clear" w:color="auto" w:fill="auto"/>
            <w:noWrap/>
            <w:textDirection w:val="tbRl"/>
            <w:vAlign w:val="bottom"/>
            <w:hideMark/>
          </w:tcPr>
          <w:p w:rsidR="00D1273E" w:rsidRPr="00D1273E" w:rsidRDefault="00D1273E" w:rsidP="00D1273E">
            <w:pPr>
              <w:spacing w:after="0" w:line="240" w:lineRule="auto"/>
              <w:ind w:left="113" w:right="113"/>
              <w:jc w:val="left"/>
              <w:rPr>
                <w:rFonts w:ascii="Calibri" w:eastAsia="Times New Roman" w:hAnsi="Calibri" w:cs="Calibri"/>
                <w:color w:val="000000"/>
                <w:sz w:val="18"/>
                <w:szCs w:val="18"/>
              </w:rPr>
            </w:pPr>
            <w:r w:rsidRPr="00D1273E">
              <w:rPr>
                <w:rFonts w:ascii="Calibri" w:eastAsia="Times New Roman" w:hAnsi="Calibri" w:cs="Calibri"/>
                <w:color w:val="000000"/>
                <w:sz w:val="18"/>
                <w:szCs w:val="18"/>
              </w:rPr>
              <w:t>Log</w:t>
            </w:r>
            <w:r w:rsidR="0059453D">
              <w:rPr>
                <w:rFonts w:ascii="Calibri" w:eastAsia="Times New Roman" w:hAnsi="Calibri" w:cs="Calibri"/>
                <w:color w:val="000000"/>
                <w:sz w:val="18"/>
                <w:szCs w:val="18"/>
              </w:rPr>
              <w:t xml:space="preserve"> </w:t>
            </w:r>
            <w:r w:rsidRPr="00D1273E">
              <w:rPr>
                <w:rFonts w:ascii="Calibri" w:eastAsia="Times New Roman" w:hAnsi="Calibri" w:cs="Calibri"/>
                <w:color w:val="000000"/>
                <w:sz w:val="18"/>
                <w:szCs w:val="18"/>
              </w:rPr>
              <w:t>Bars</w:t>
            </w:r>
            <w:r w:rsidR="0059453D">
              <w:rPr>
                <w:rFonts w:ascii="Calibri" w:eastAsia="Times New Roman" w:hAnsi="Calibri" w:cs="Calibri"/>
                <w:color w:val="000000"/>
                <w:sz w:val="18"/>
                <w:szCs w:val="18"/>
              </w:rPr>
              <w:t xml:space="preserve"> </w:t>
            </w:r>
            <w:r w:rsidRPr="00D1273E">
              <w:rPr>
                <w:rFonts w:ascii="Calibri" w:eastAsia="Times New Roman" w:hAnsi="Calibri" w:cs="Calibri"/>
                <w:color w:val="000000"/>
                <w:sz w:val="18"/>
                <w:szCs w:val="18"/>
              </w:rPr>
              <w:t>DensityLand</w:t>
            </w:r>
          </w:p>
        </w:tc>
        <w:tc>
          <w:tcPr>
            <w:tcW w:w="400" w:type="pct"/>
            <w:tcBorders>
              <w:top w:val="nil"/>
              <w:left w:val="nil"/>
              <w:bottom w:val="nil"/>
              <w:right w:val="nil"/>
            </w:tcBorders>
            <w:shd w:val="clear" w:color="auto" w:fill="auto"/>
            <w:noWrap/>
            <w:textDirection w:val="tbRl"/>
            <w:vAlign w:val="bottom"/>
            <w:hideMark/>
          </w:tcPr>
          <w:p w:rsidR="00D1273E" w:rsidRPr="00D1273E" w:rsidRDefault="00D1273E" w:rsidP="00D1273E">
            <w:pPr>
              <w:spacing w:after="0" w:line="240" w:lineRule="auto"/>
              <w:ind w:left="113" w:right="113"/>
              <w:jc w:val="left"/>
              <w:rPr>
                <w:rFonts w:ascii="Calibri" w:eastAsia="Times New Roman" w:hAnsi="Calibri" w:cs="Calibri"/>
                <w:color w:val="000000"/>
                <w:sz w:val="18"/>
                <w:szCs w:val="18"/>
              </w:rPr>
            </w:pPr>
            <w:r w:rsidRPr="00D1273E">
              <w:rPr>
                <w:rFonts w:ascii="Calibri" w:eastAsia="Times New Roman" w:hAnsi="Calibri" w:cs="Calibri"/>
                <w:color w:val="000000"/>
                <w:sz w:val="18"/>
                <w:szCs w:val="18"/>
              </w:rPr>
              <w:t>Percent</w:t>
            </w:r>
            <w:r w:rsidR="0059453D">
              <w:rPr>
                <w:rFonts w:ascii="Calibri" w:eastAsia="Times New Roman" w:hAnsi="Calibri" w:cs="Calibri"/>
                <w:color w:val="000000"/>
                <w:sz w:val="18"/>
                <w:szCs w:val="18"/>
              </w:rPr>
              <w:t xml:space="preserve"> </w:t>
            </w:r>
            <w:r w:rsidRPr="00D1273E">
              <w:rPr>
                <w:rFonts w:ascii="Calibri" w:eastAsia="Times New Roman" w:hAnsi="Calibri" w:cs="Calibri"/>
                <w:color w:val="000000"/>
                <w:sz w:val="18"/>
                <w:szCs w:val="18"/>
              </w:rPr>
              <w:t>Female</w:t>
            </w:r>
          </w:p>
        </w:tc>
        <w:tc>
          <w:tcPr>
            <w:tcW w:w="374" w:type="pct"/>
            <w:tcBorders>
              <w:top w:val="nil"/>
              <w:left w:val="nil"/>
              <w:bottom w:val="nil"/>
              <w:right w:val="nil"/>
            </w:tcBorders>
            <w:shd w:val="clear" w:color="auto" w:fill="auto"/>
            <w:noWrap/>
            <w:textDirection w:val="tbRl"/>
            <w:vAlign w:val="bottom"/>
            <w:hideMark/>
          </w:tcPr>
          <w:p w:rsidR="00D1273E" w:rsidRPr="00D1273E" w:rsidRDefault="00D1273E" w:rsidP="00D1273E">
            <w:pPr>
              <w:spacing w:after="0" w:line="240" w:lineRule="auto"/>
              <w:ind w:left="113" w:right="113"/>
              <w:jc w:val="left"/>
              <w:rPr>
                <w:rFonts w:ascii="Calibri" w:eastAsia="Times New Roman" w:hAnsi="Calibri" w:cs="Calibri"/>
                <w:color w:val="000000"/>
                <w:sz w:val="18"/>
                <w:szCs w:val="18"/>
              </w:rPr>
            </w:pPr>
            <w:r w:rsidRPr="00D1273E">
              <w:rPr>
                <w:rFonts w:ascii="Calibri" w:eastAsia="Times New Roman" w:hAnsi="Calibri" w:cs="Calibri"/>
                <w:color w:val="000000"/>
                <w:sz w:val="18"/>
                <w:szCs w:val="18"/>
              </w:rPr>
              <w:t>Percent</w:t>
            </w:r>
            <w:r w:rsidR="0059453D">
              <w:rPr>
                <w:rFonts w:ascii="Calibri" w:eastAsia="Times New Roman" w:hAnsi="Calibri" w:cs="Calibri"/>
                <w:color w:val="000000"/>
                <w:sz w:val="18"/>
                <w:szCs w:val="18"/>
              </w:rPr>
              <w:t xml:space="preserve"> </w:t>
            </w:r>
            <w:r w:rsidRPr="00D1273E">
              <w:rPr>
                <w:rFonts w:ascii="Calibri" w:eastAsia="Times New Roman" w:hAnsi="Calibri" w:cs="Calibri"/>
                <w:color w:val="000000"/>
                <w:sz w:val="18"/>
                <w:szCs w:val="18"/>
              </w:rPr>
              <w:t>25_44</w:t>
            </w:r>
          </w:p>
        </w:tc>
      </w:tr>
      <w:tr w:rsidR="0059453D" w:rsidRPr="00D1273E" w:rsidTr="0059453D">
        <w:trPr>
          <w:cantSplit/>
          <w:trHeight w:val="144"/>
        </w:trPr>
        <w:tc>
          <w:tcPr>
            <w:tcW w:w="991" w:type="pct"/>
            <w:tcBorders>
              <w:top w:val="nil"/>
              <w:left w:val="nil"/>
              <w:bottom w:val="nil"/>
              <w:right w:val="nil"/>
            </w:tcBorders>
            <w:shd w:val="clear" w:color="auto" w:fill="auto"/>
            <w:noWrap/>
            <w:vAlign w:val="center"/>
            <w:hideMark/>
          </w:tcPr>
          <w:p w:rsidR="0059453D" w:rsidRDefault="0059453D" w:rsidP="0059453D">
            <w:pPr>
              <w:spacing w:after="0" w:line="240" w:lineRule="auto"/>
              <w:jc w:val="left"/>
              <w:rPr>
                <w:rFonts w:ascii="Calibri" w:hAnsi="Calibri" w:cs="Calibri"/>
                <w:color w:val="000000"/>
                <w:sz w:val="18"/>
                <w:szCs w:val="18"/>
              </w:rPr>
            </w:pPr>
            <w:r>
              <w:rPr>
                <w:rFonts w:ascii="Calibri" w:hAnsi="Calibri" w:cs="Calibri"/>
                <w:color w:val="000000"/>
                <w:sz w:val="18"/>
                <w:szCs w:val="18"/>
              </w:rPr>
              <w:t>Log Brew Density Land</w:t>
            </w:r>
          </w:p>
        </w:tc>
        <w:tc>
          <w:tcPr>
            <w:tcW w:w="545"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1.00</w:t>
            </w:r>
          </w:p>
        </w:tc>
        <w:tc>
          <w:tcPr>
            <w:tcW w:w="333"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0.32</w:t>
            </w:r>
          </w:p>
        </w:tc>
        <w:tc>
          <w:tcPr>
            <w:tcW w:w="568"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0.40</w:t>
            </w:r>
          </w:p>
        </w:tc>
        <w:tc>
          <w:tcPr>
            <w:tcW w:w="368"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0.45</w:t>
            </w:r>
          </w:p>
        </w:tc>
        <w:tc>
          <w:tcPr>
            <w:tcW w:w="396"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0.61</w:t>
            </w:r>
          </w:p>
        </w:tc>
        <w:tc>
          <w:tcPr>
            <w:tcW w:w="500"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0.61</w:t>
            </w:r>
          </w:p>
        </w:tc>
        <w:tc>
          <w:tcPr>
            <w:tcW w:w="525"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0.58</w:t>
            </w:r>
          </w:p>
        </w:tc>
        <w:tc>
          <w:tcPr>
            <w:tcW w:w="400"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0.13</w:t>
            </w:r>
          </w:p>
        </w:tc>
        <w:tc>
          <w:tcPr>
            <w:tcW w:w="374"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-0.04</w:t>
            </w:r>
          </w:p>
        </w:tc>
      </w:tr>
      <w:tr w:rsidR="0059453D" w:rsidRPr="00D1273E" w:rsidTr="0059453D">
        <w:trPr>
          <w:cantSplit/>
          <w:trHeight w:val="144"/>
        </w:trPr>
        <w:tc>
          <w:tcPr>
            <w:tcW w:w="991" w:type="pct"/>
            <w:tcBorders>
              <w:top w:val="nil"/>
              <w:left w:val="nil"/>
              <w:bottom w:val="nil"/>
              <w:right w:val="nil"/>
            </w:tcBorders>
            <w:shd w:val="clear" w:color="auto" w:fill="auto"/>
            <w:noWrap/>
            <w:vAlign w:val="center"/>
            <w:hideMark/>
          </w:tcPr>
          <w:p w:rsidR="0059453D" w:rsidRDefault="0059453D" w:rsidP="0059453D">
            <w:pPr>
              <w:spacing w:after="0" w:line="240" w:lineRule="auto"/>
              <w:rPr>
                <w:rFonts w:ascii="Calibri" w:hAnsi="Calibri" w:cs="Calibri"/>
                <w:color w:val="000000"/>
                <w:sz w:val="18"/>
                <w:szCs w:val="18"/>
              </w:rPr>
            </w:pPr>
            <w:r>
              <w:rPr>
                <w:rFonts w:ascii="Calibri" w:hAnsi="Calibri" w:cs="Calibri"/>
                <w:color w:val="000000"/>
                <w:sz w:val="18"/>
                <w:szCs w:val="18"/>
              </w:rPr>
              <w:t>Jobs-Population Ratio</w:t>
            </w:r>
          </w:p>
        </w:tc>
        <w:tc>
          <w:tcPr>
            <w:tcW w:w="545"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0.32</w:t>
            </w:r>
          </w:p>
        </w:tc>
        <w:tc>
          <w:tcPr>
            <w:tcW w:w="333"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1.00</w:t>
            </w:r>
          </w:p>
        </w:tc>
        <w:tc>
          <w:tcPr>
            <w:tcW w:w="568"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0.60</w:t>
            </w:r>
          </w:p>
        </w:tc>
        <w:tc>
          <w:tcPr>
            <w:tcW w:w="368"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0.64</w:t>
            </w:r>
          </w:p>
        </w:tc>
        <w:tc>
          <w:tcPr>
            <w:tcW w:w="396"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0.10</w:t>
            </w:r>
          </w:p>
        </w:tc>
        <w:tc>
          <w:tcPr>
            <w:tcW w:w="500"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0.10</w:t>
            </w:r>
          </w:p>
        </w:tc>
        <w:tc>
          <w:tcPr>
            <w:tcW w:w="525"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-0.01</w:t>
            </w:r>
          </w:p>
        </w:tc>
        <w:tc>
          <w:tcPr>
            <w:tcW w:w="400"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0.00</w:t>
            </w:r>
          </w:p>
        </w:tc>
        <w:tc>
          <w:tcPr>
            <w:tcW w:w="374"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0.36</w:t>
            </w:r>
          </w:p>
        </w:tc>
      </w:tr>
      <w:tr w:rsidR="0059453D" w:rsidRPr="00D1273E" w:rsidTr="0059453D">
        <w:trPr>
          <w:cantSplit/>
          <w:trHeight w:val="144"/>
        </w:trPr>
        <w:tc>
          <w:tcPr>
            <w:tcW w:w="991" w:type="pct"/>
            <w:tcBorders>
              <w:top w:val="nil"/>
              <w:left w:val="nil"/>
              <w:bottom w:val="nil"/>
              <w:right w:val="nil"/>
            </w:tcBorders>
            <w:shd w:val="clear" w:color="auto" w:fill="auto"/>
            <w:noWrap/>
            <w:vAlign w:val="center"/>
            <w:hideMark/>
          </w:tcPr>
          <w:p w:rsidR="0059453D" w:rsidRDefault="0059453D" w:rsidP="0059453D">
            <w:pPr>
              <w:spacing w:after="0" w:line="240" w:lineRule="auto"/>
              <w:rPr>
                <w:rFonts w:ascii="Calibri" w:hAnsi="Calibri" w:cs="Calibri"/>
                <w:color w:val="000000"/>
                <w:sz w:val="18"/>
                <w:szCs w:val="18"/>
              </w:rPr>
            </w:pPr>
            <w:r>
              <w:rPr>
                <w:rFonts w:ascii="Calibri" w:hAnsi="Calibri" w:cs="Calibri"/>
                <w:color w:val="000000"/>
                <w:sz w:val="18"/>
                <w:szCs w:val="18"/>
              </w:rPr>
              <w:t>Log Per Capita Income</w:t>
            </w:r>
          </w:p>
        </w:tc>
        <w:tc>
          <w:tcPr>
            <w:tcW w:w="545"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0.40</w:t>
            </w:r>
          </w:p>
        </w:tc>
        <w:tc>
          <w:tcPr>
            <w:tcW w:w="333"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0.60</w:t>
            </w:r>
          </w:p>
        </w:tc>
        <w:tc>
          <w:tcPr>
            <w:tcW w:w="568"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1.00</w:t>
            </w:r>
          </w:p>
        </w:tc>
        <w:tc>
          <w:tcPr>
            <w:tcW w:w="368"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0.64</w:t>
            </w:r>
          </w:p>
        </w:tc>
        <w:tc>
          <w:tcPr>
            <w:tcW w:w="396"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0.34</w:t>
            </w:r>
          </w:p>
        </w:tc>
        <w:tc>
          <w:tcPr>
            <w:tcW w:w="500"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0.36</w:t>
            </w:r>
          </w:p>
        </w:tc>
        <w:tc>
          <w:tcPr>
            <w:tcW w:w="525"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0.03</w:t>
            </w:r>
          </w:p>
        </w:tc>
        <w:tc>
          <w:tcPr>
            <w:tcW w:w="400"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0.01</w:t>
            </w:r>
          </w:p>
        </w:tc>
        <w:tc>
          <w:tcPr>
            <w:tcW w:w="374"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0.15</w:t>
            </w:r>
          </w:p>
        </w:tc>
      </w:tr>
      <w:tr w:rsidR="0059453D" w:rsidRPr="00D1273E" w:rsidTr="0059453D">
        <w:trPr>
          <w:cantSplit/>
          <w:trHeight w:val="144"/>
        </w:trPr>
        <w:tc>
          <w:tcPr>
            <w:tcW w:w="991" w:type="pct"/>
            <w:tcBorders>
              <w:top w:val="nil"/>
              <w:left w:val="nil"/>
              <w:bottom w:val="nil"/>
              <w:right w:val="nil"/>
            </w:tcBorders>
            <w:shd w:val="clear" w:color="auto" w:fill="auto"/>
            <w:noWrap/>
            <w:vAlign w:val="center"/>
            <w:hideMark/>
          </w:tcPr>
          <w:p w:rsidR="0059453D" w:rsidRDefault="0059453D" w:rsidP="0059453D">
            <w:pPr>
              <w:spacing w:after="0" w:line="240" w:lineRule="auto"/>
              <w:rPr>
                <w:rFonts w:ascii="Calibri" w:hAnsi="Calibri" w:cs="Calibri"/>
                <w:color w:val="000000"/>
                <w:sz w:val="18"/>
                <w:szCs w:val="18"/>
              </w:rPr>
            </w:pPr>
            <w:r>
              <w:rPr>
                <w:rFonts w:ascii="Calibri" w:hAnsi="Calibri" w:cs="Calibri"/>
                <w:color w:val="000000"/>
                <w:sz w:val="18"/>
                <w:szCs w:val="18"/>
              </w:rPr>
              <w:t>Log Education</w:t>
            </w:r>
          </w:p>
        </w:tc>
        <w:tc>
          <w:tcPr>
            <w:tcW w:w="545"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0.45</w:t>
            </w:r>
          </w:p>
        </w:tc>
        <w:tc>
          <w:tcPr>
            <w:tcW w:w="333"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0.64</w:t>
            </w:r>
          </w:p>
        </w:tc>
        <w:tc>
          <w:tcPr>
            <w:tcW w:w="568"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0.64</w:t>
            </w:r>
          </w:p>
        </w:tc>
        <w:tc>
          <w:tcPr>
            <w:tcW w:w="368"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1.00</w:t>
            </w:r>
          </w:p>
        </w:tc>
        <w:tc>
          <w:tcPr>
            <w:tcW w:w="396"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0.27</w:t>
            </w:r>
          </w:p>
        </w:tc>
        <w:tc>
          <w:tcPr>
            <w:tcW w:w="500"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0.28</w:t>
            </w:r>
          </w:p>
        </w:tc>
        <w:tc>
          <w:tcPr>
            <w:tcW w:w="525"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0.02</w:t>
            </w:r>
          </w:p>
        </w:tc>
        <w:tc>
          <w:tcPr>
            <w:tcW w:w="400"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0.08</w:t>
            </w:r>
          </w:p>
        </w:tc>
        <w:tc>
          <w:tcPr>
            <w:tcW w:w="374"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0.19</w:t>
            </w:r>
          </w:p>
        </w:tc>
      </w:tr>
      <w:tr w:rsidR="0059453D" w:rsidRPr="00D1273E" w:rsidTr="0059453D">
        <w:trPr>
          <w:cantSplit/>
          <w:trHeight w:val="144"/>
        </w:trPr>
        <w:tc>
          <w:tcPr>
            <w:tcW w:w="991" w:type="pct"/>
            <w:tcBorders>
              <w:top w:val="nil"/>
              <w:left w:val="nil"/>
              <w:bottom w:val="nil"/>
              <w:right w:val="nil"/>
            </w:tcBorders>
            <w:shd w:val="clear" w:color="auto" w:fill="auto"/>
            <w:noWrap/>
            <w:vAlign w:val="center"/>
            <w:hideMark/>
          </w:tcPr>
          <w:p w:rsidR="0059453D" w:rsidRDefault="0059453D" w:rsidP="0059453D">
            <w:pPr>
              <w:spacing w:after="0" w:line="240" w:lineRule="auto"/>
              <w:rPr>
                <w:rFonts w:ascii="Calibri" w:hAnsi="Calibri" w:cs="Calibri"/>
                <w:color w:val="000000"/>
                <w:sz w:val="18"/>
                <w:szCs w:val="18"/>
              </w:rPr>
            </w:pPr>
            <w:r>
              <w:rPr>
                <w:rFonts w:ascii="Calibri" w:hAnsi="Calibri" w:cs="Calibri"/>
                <w:color w:val="000000"/>
                <w:sz w:val="18"/>
                <w:szCs w:val="18"/>
              </w:rPr>
              <w:t>Log Pop Density</w:t>
            </w:r>
          </w:p>
        </w:tc>
        <w:tc>
          <w:tcPr>
            <w:tcW w:w="545"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0.61</w:t>
            </w:r>
          </w:p>
        </w:tc>
        <w:tc>
          <w:tcPr>
            <w:tcW w:w="333"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0.10</w:t>
            </w:r>
          </w:p>
        </w:tc>
        <w:tc>
          <w:tcPr>
            <w:tcW w:w="568"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0.34</w:t>
            </w:r>
          </w:p>
        </w:tc>
        <w:tc>
          <w:tcPr>
            <w:tcW w:w="368"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0.27</w:t>
            </w:r>
          </w:p>
        </w:tc>
        <w:tc>
          <w:tcPr>
            <w:tcW w:w="396"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1.00</w:t>
            </w:r>
          </w:p>
        </w:tc>
        <w:tc>
          <w:tcPr>
            <w:tcW w:w="500"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0.99</w:t>
            </w:r>
          </w:p>
        </w:tc>
        <w:tc>
          <w:tcPr>
            <w:tcW w:w="525"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0.43</w:t>
            </w:r>
          </w:p>
        </w:tc>
        <w:tc>
          <w:tcPr>
            <w:tcW w:w="400"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0.35</w:t>
            </w:r>
          </w:p>
        </w:tc>
        <w:tc>
          <w:tcPr>
            <w:tcW w:w="374"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0.06</w:t>
            </w:r>
          </w:p>
        </w:tc>
      </w:tr>
      <w:tr w:rsidR="0059453D" w:rsidRPr="00D1273E" w:rsidTr="0059453D">
        <w:trPr>
          <w:cantSplit/>
          <w:trHeight w:val="144"/>
        </w:trPr>
        <w:tc>
          <w:tcPr>
            <w:tcW w:w="991" w:type="pct"/>
            <w:tcBorders>
              <w:top w:val="nil"/>
              <w:left w:val="nil"/>
              <w:bottom w:val="nil"/>
              <w:right w:val="nil"/>
            </w:tcBorders>
            <w:shd w:val="clear" w:color="auto" w:fill="auto"/>
            <w:noWrap/>
            <w:vAlign w:val="center"/>
            <w:hideMark/>
          </w:tcPr>
          <w:p w:rsidR="0059453D" w:rsidRDefault="0059453D" w:rsidP="0059453D">
            <w:pPr>
              <w:spacing w:after="0" w:line="240" w:lineRule="auto"/>
              <w:rPr>
                <w:rFonts w:ascii="Calibri" w:hAnsi="Calibri" w:cs="Calibri"/>
                <w:color w:val="000000"/>
                <w:sz w:val="18"/>
                <w:szCs w:val="18"/>
              </w:rPr>
            </w:pPr>
            <w:r>
              <w:rPr>
                <w:rFonts w:ascii="Calibri" w:hAnsi="Calibri" w:cs="Calibri"/>
                <w:color w:val="000000"/>
                <w:sz w:val="18"/>
                <w:szCs w:val="18"/>
              </w:rPr>
              <w:t>Log Housing Density</w:t>
            </w:r>
          </w:p>
        </w:tc>
        <w:tc>
          <w:tcPr>
            <w:tcW w:w="545"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0.61</w:t>
            </w:r>
          </w:p>
        </w:tc>
        <w:tc>
          <w:tcPr>
            <w:tcW w:w="333"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0.10</w:t>
            </w:r>
          </w:p>
        </w:tc>
        <w:tc>
          <w:tcPr>
            <w:tcW w:w="568"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0.36</w:t>
            </w:r>
          </w:p>
        </w:tc>
        <w:tc>
          <w:tcPr>
            <w:tcW w:w="368"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0.28</w:t>
            </w:r>
          </w:p>
        </w:tc>
        <w:tc>
          <w:tcPr>
            <w:tcW w:w="396"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0.99</w:t>
            </w:r>
          </w:p>
        </w:tc>
        <w:tc>
          <w:tcPr>
            <w:tcW w:w="500"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1.00</w:t>
            </w:r>
          </w:p>
        </w:tc>
        <w:tc>
          <w:tcPr>
            <w:tcW w:w="525"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0.46</w:t>
            </w:r>
          </w:p>
        </w:tc>
        <w:tc>
          <w:tcPr>
            <w:tcW w:w="400"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0.39</w:t>
            </w:r>
          </w:p>
        </w:tc>
        <w:tc>
          <w:tcPr>
            <w:tcW w:w="374"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-0.01</w:t>
            </w:r>
          </w:p>
        </w:tc>
      </w:tr>
      <w:tr w:rsidR="0059453D" w:rsidRPr="00D1273E" w:rsidTr="0059453D">
        <w:trPr>
          <w:cantSplit/>
          <w:trHeight w:val="144"/>
        </w:trPr>
        <w:tc>
          <w:tcPr>
            <w:tcW w:w="991" w:type="pct"/>
            <w:tcBorders>
              <w:top w:val="nil"/>
              <w:left w:val="nil"/>
              <w:bottom w:val="nil"/>
              <w:right w:val="nil"/>
            </w:tcBorders>
            <w:shd w:val="clear" w:color="auto" w:fill="auto"/>
            <w:noWrap/>
            <w:vAlign w:val="center"/>
            <w:hideMark/>
          </w:tcPr>
          <w:p w:rsidR="0059453D" w:rsidRDefault="0059453D" w:rsidP="0059453D">
            <w:pPr>
              <w:spacing w:after="0" w:line="240" w:lineRule="auto"/>
              <w:rPr>
                <w:rFonts w:ascii="Calibri" w:hAnsi="Calibri" w:cs="Calibri"/>
                <w:color w:val="000000"/>
                <w:sz w:val="18"/>
                <w:szCs w:val="18"/>
              </w:rPr>
            </w:pPr>
            <w:r>
              <w:rPr>
                <w:rFonts w:ascii="Calibri" w:hAnsi="Calibri" w:cs="Calibri"/>
                <w:color w:val="000000"/>
                <w:sz w:val="18"/>
                <w:szCs w:val="18"/>
              </w:rPr>
              <w:t>Log Bars DensityLand</w:t>
            </w:r>
          </w:p>
        </w:tc>
        <w:tc>
          <w:tcPr>
            <w:tcW w:w="545"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0.58</w:t>
            </w:r>
          </w:p>
        </w:tc>
        <w:tc>
          <w:tcPr>
            <w:tcW w:w="333"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-0.01</w:t>
            </w:r>
          </w:p>
        </w:tc>
        <w:tc>
          <w:tcPr>
            <w:tcW w:w="568"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0.03</w:t>
            </w:r>
          </w:p>
        </w:tc>
        <w:tc>
          <w:tcPr>
            <w:tcW w:w="368"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0.02</w:t>
            </w:r>
          </w:p>
        </w:tc>
        <w:tc>
          <w:tcPr>
            <w:tcW w:w="396"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0.43</w:t>
            </w:r>
          </w:p>
        </w:tc>
        <w:tc>
          <w:tcPr>
            <w:tcW w:w="500"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0.46</w:t>
            </w:r>
          </w:p>
        </w:tc>
        <w:tc>
          <w:tcPr>
            <w:tcW w:w="525"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1.00</w:t>
            </w:r>
          </w:p>
        </w:tc>
        <w:tc>
          <w:tcPr>
            <w:tcW w:w="400"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0.10</w:t>
            </w:r>
          </w:p>
        </w:tc>
        <w:tc>
          <w:tcPr>
            <w:tcW w:w="374"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-0.39</w:t>
            </w:r>
          </w:p>
        </w:tc>
      </w:tr>
      <w:tr w:rsidR="0059453D" w:rsidRPr="00D1273E" w:rsidTr="0059453D">
        <w:trPr>
          <w:cantSplit/>
          <w:trHeight w:val="144"/>
        </w:trPr>
        <w:tc>
          <w:tcPr>
            <w:tcW w:w="991" w:type="pct"/>
            <w:tcBorders>
              <w:top w:val="nil"/>
              <w:left w:val="nil"/>
              <w:bottom w:val="nil"/>
              <w:right w:val="nil"/>
            </w:tcBorders>
            <w:shd w:val="clear" w:color="auto" w:fill="auto"/>
            <w:noWrap/>
            <w:vAlign w:val="center"/>
            <w:hideMark/>
          </w:tcPr>
          <w:p w:rsidR="0059453D" w:rsidRDefault="0059453D" w:rsidP="0059453D">
            <w:pPr>
              <w:spacing w:after="0" w:line="240" w:lineRule="auto"/>
              <w:rPr>
                <w:rFonts w:ascii="Calibri" w:hAnsi="Calibri" w:cs="Calibri"/>
                <w:color w:val="000000"/>
                <w:sz w:val="18"/>
                <w:szCs w:val="18"/>
              </w:rPr>
            </w:pPr>
            <w:r>
              <w:rPr>
                <w:rFonts w:ascii="Calibri" w:hAnsi="Calibri" w:cs="Calibri"/>
                <w:color w:val="000000"/>
                <w:sz w:val="18"/>
                <w:szCs w:val="18"/>
              </w:rPr>
              <w:t>Percent Female</w:t>
            </w:r>
          </w:p>
        </w:tc>
        <w:tc>
          <w:tcPr>
            <w:tcW w:w="545"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0.13</w:t>
            </w:r>
          </w:p>
        </w:tc>
        <w:tc>
          <w:tcPr>
            <w:tcW w:w="333"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0.00</w:t>
            </w:r>
          </w:p>
        </w:tc>
        <w:tc>
          <w:tcPr>
            <w:tcW w:w="568"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0.01</w:t>
            </w:r>
          </w:p>
        </w:tc>
        <w:tc>
          <w:tcPr>
            <w:tcW w:w="368"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0.08</w:t>
            </w:r>
          </w:p>
        </w:tc>
        <w:tc>
          <w:tcPr>
            <w:tcW w:w="396"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0.35</w:t>
            </w:r>
          </w:p>
        </w:tc>
        <w:tc>
          <w:tcPr>
            <w:tcW w:w="500"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0.39</w:t>
            </w:r>
          </w:p>
        </w:tc>
        <w:tc>
          <w:tcPr>
            <w:tcW w:w="525"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0.10</w:t>
            </w:r>
          </w:p>
        </w:tc>
        <w:tc>
          <w:tcPr>
            <w:tcW w:w="400"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1.00</w:t>
            </w:r>
          </w:p>
        </w:tc>
        <w:tc>
          <w:tcPr>
            <w:tcW w:w="374"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-0.27</w:t>
            </w:r>
          </w:p>
        </w:tc>
      </w:tr>
      <w:tr w:rsidR="0059453D" w:rsidRPr="00D1273E" w:rsidTr="0059453D">
        <w:trPr>
          <w:cantSplit/>
          <w:trHeight w:val="144"/>
        </w:trPr>
        <w:tc>
          <w:tcPr>
            <w:tcW w:w="991" w:type="pct"/>
            <w:tcBorders>
              <w:top w:val="nil"/>
              <w:left w:val="nil"/>
              <w:bottom w:val="nil"/>
              <w:right w:val="nil"/>
            </w:tcBorders>
            <w:shd w:val="clear" w:color="auto" w:fill="auto"/>
            <w:noWrap/>
            <w:vAlign w:val="center"/>
            <w:hideMark/>
          </w:tcPr>
          <w:p w:rsidR="0059453D" w:rsidRDefault="0059453D" w:rsidP="0059453D">
            <w:pPr>
              <w:spacing w:after="0" w:line="240" w:lineRule="auto"/>
              <w:rPr>
                <w:rFonts w:ascii="Calibri" w:hAnsi="Calibri" w:cs="Calibri"/>
                <w:color w:val="000000"/>
                <w:sz w:val="18"/>
                <w:szCs w:val="18"/>
              </w:rPr>
            </w:pPr>
            <w:r>
              <w:rPr>
                <w:rFonts w:ascii="Calibri" w:hAnsi="Calibri" w:cs="Calibri"/>
                <w:color w:val="000000"/>
                <w:sz w:val="18"/>
                <w:szCs w:val="18"/>
              </w:rPr>
              <w:t>Percent 25_44</w:t>
            </w:r>
          </w:p>
        </w:tc>
        <w:tc>
          <w:tcPr>
            <w:tcW w:w="545"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-0.04</w:t>
            </w:r>
          </w:p>
        </w:tc>
        <w:tc>
          <w:tcPr>
            <w:tcW w:w="333"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0.36</w:t>
            </w:r>
          </w:p>
        </w:tc>
        <w:tc>
          <w:tcPr>
            <w:tcW w:w="568"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0.15</w:t>
            </w:r>
          </w:p>
        </w:tc>
        <w:tc>
          <w:tcPr>
            <w:tcW w:w="368"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0.19</w:t>
            </w:r>
          </w:p>
        </w:tc>
        <w:tc>
          <w:tcPr>
            <w:tcW w:w="396"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0.06</w:t>
            </w:r>
          </w:p>
        </w:tc>
        <w:tc>
          <w:tcPr>
            <w:tcW w:w="500"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-0.01</w:t>
            </w:r>
          </w:p>
        </w:tc>
        <w:tc>
          <w:tcPr>
            <w:tcW w:w="525"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-0.39</w:t>
            </w:r>
          </w:p>
        </w:tc>
        <w:tc>
          <w:tcPr>
            <w:tcW w:w="400"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-0.27</w:t>
            </w:r>
          </w:p>
        </w:tc>
        <w:tc>
          <w:tcPr>
            <w:tcW w:w="374" w:type="pct"/>
            <w:tcBorders>
              <w:top w:val="nil"/>
              <w:left w:val="nil"/>
              <w:bottom w:val="nil"/>
              <w:right w:val="nil"/>
            </w:tcBorders>
            <w:shd w:val="clear" w:color="auto" w:fill="auto"/>
            <w:noWrap/>
            <w:vAlign w:val="bottom"/>
            <w:hideMark/>
          </w:tcPr>
          <w:p w:rsidR="0059453D" w:rsidRPr="00D1273E" w:rsidRDefault="0059453D" w:rsidP="0059453D">
            <w:pPr>
              <w:spacing w:after="0" w:line="240" w:lineRule="auto"/>
              <w:jc w:val="right"/>
              <w:rPr>
                <w:rFonts w:ascii="Calibri" w:eastAsia="Times New Roman" w:hAnsi="Calibri" w:cs="Calibri"/>
                <w:color w:val="000000"/>
                <w:sz w:val="18"/>
                <w:szCs w:val="18"/>
              </w:rPr>
            </w:pPr>
            <w:r w:rsidRPr="00D1273E">
              <w:rPr>
                <w:rFonts w:ascii="Calibri" w:eastAsia="Times New Roman" w:hAnsi="Calibri" w:cs="Calibri"/>
                <w:color w:val="000000"/>
                <w:sz w:val="18"/>
                <w:szCs w:val="18"/>
              </w:rPr>
              <w:t>1.00</w:t>
            </w:r>
          </w:p>
        </w:tc>
      </w:tr>
    </w:tbl>
    <w:p w:rsidR="00D1273E" w:rsidRDefault="00D1273E" w:rsidP="00187F91"/>
    <w:p w:rsidR="00187F91" w:rsidRDefault="00187F91" w:rsidP="00187F91">
      <w:pPr>
        <w:pStyle w:val="Heading1"/>
      </w:pPr>
      <w:r>
        <w:lastRenderedPageBreak/>
        <w:t xml:space="preserve">Methodology </w:t>
      </w:r>
    </w:p>
    <w:p w:rsidR="007335F5" w:rsidRDefault="008654A0" w:rsidP="008654A0">
      <w:pPr>
        <w:keepNext/>
        <w:pBdr>
          <w:top w:val="nil"/>
          <w:left w:val="nil"/>
          <w:bottom w:val="nil"/>
          <w:right w:val="nil"/>
          <w:between w:val="nil"/>
        </w:pBdr>
        <w:spacing w:after="0"/>
        <w:rPr>
          <w:color w:val="000000"/>
        </w:rPr>
      </w:pPr>
      <w:r>
        <w:rPr>
          <w:color w:val="000000"/>
        </w:rPr>
        <w:t>The number of breweries within an MSA (as a ratio to 100 square miles in the area) is predicted with the following model:</w:t>
      </w:r>
    </w:p>
    <w:p w:rsidR="007335F5" w:rsidRPr="00D951DA" w:rsidRDefault="008654A0" w:rsidP="007335F5">
      <w:pPr>
        <w:pBdr>
          <w:top w:val="nil"/>
          <w:left w:val="nil"/>
          <w:bottom w:val="nil"/>
          <w:right w:val="nil"/>
          <w:between w:val="nil"/>
        </w:pBdr>
        <w:spacing w:after="0"/>
        <w:rPr>
          <w:color w:val="000000"/>
        </w:rPr>
      </w:pPr>
      <m:oMathPara>
        <m:oMath>
          <m:r>
            <w:rPr>
              <w:rFonts w:ascii="Cambria Math" w:hAnsi="Cambria Math"/>
              <w:color w:val="000000"/>
            </w:rPr>
            <m:t xml:space="preserve">Log of </m:t>
          </m:r>
          <m:r>
            <w:rPr>
              <w:rFonts w:ascii="Cambria Math" w:hAnsi="Cambria Math"/>
              <w:color w:val="000000"/>
            </w:rPr>
            <m:t>BrewDensity</m:t>
          </m:r>
          <m:r>
            <w:rPr>
              <w:rFonts w:ascii="Cambria Math" w:hAnsi="Cambria Math"/>
              <w:color w:val="000000"/>
            </w:rPr>
            <m:t>Land</m:t>
          </m:r>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0</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r>
            <w:rPr>
              <w:rFonts w:ascii="Cambria Math" w:hAnsi="Cambria Math"/>
              <w:color w:val="000000"/>
            </w:rPr>
            <m:t xml:space="preserve">Log of </m:t>
          </m:r>
          <m:r>
            <w:rPr>
              <w:rFonts w:ascii="Cambria Math" w:hAnsi="Cambria Math"/>
              <w:color w:val="000000"/>
            </w:rPr>
            <m:t xml:space="preserve">Per Capita </m:t>
          </m:r>
          <m:r>
            <w:rPr>
              <w:rFonts w:ascii="Cambria Math" w:hAnsi="Cambria Math"/>
              <w:color w:val="000000"/>
            </w:rPr>
            <m:t>Income+</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r>
            <w:rPr>
              <w:rFonts w:ascii="Cambria Math" w:hAnsi="Cambria Math"/>
              <w:color w:val="000000"/>
            </w:rPr>
            <m:t>Jobs</m:t>
          </m:r>
          <m:r>
            <w:rPr>
              <w:rFonts w:ascii="Cambria Math" w:hAnsi="Cambria Math"/>
              <w:color w:val="000000"/>
            </w:rPr>
            <m:t>Population Ratio</m:t>
          </m:r>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3</m:t>
              </m:r>
            </m:sub>
          </m:sSub>
          <m:r>
            <w:rPr>
              <w:rFonts w:ascii="Cambria Math" w:hAnsi="Cambria Math"/>
              <w:color w:val="000000"/>
            </w:rPr>
            <m:t>% of over25 with more than Bachelo</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m:t>
              </m:r>
            </m:sup>
          </m:sSup>
          <m:r>
            <w:rPr>
              <w:rFonts w:ascii="Cambria Math" w:hAnsi="Cambria Math"/>
              <w:color w:val="000000"/>
            </w:rPr>
            <m:t>s+</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4</m:t>
              </m:r>
            </m:sub>
          </m:sSub>
          <m:r>
            <w:rPr>
              <w:rFonts w:ascii="Cambria Math" w:hAnsi="Cambria Math"/>
              <w:color w:val="000000"/>
            </w:rPr>
            <m:t>PopDensity+</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5</m:t>
              </m:r>
            </m:sub>
          </m:sSub>
          <m:r>
            <w:rPr>
              <w:rFonts w:ascii="Cambria Math" w:hAnsi="Cambria Math"/>
              <w:color w:val="000000"/>
            </w:rPr>
            <m:t>HousingDensity+</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6</m:t>
              </m:r>
            </m:sub>
          </m:sSub>
          <m:r>
            <w:rPr>
              <w:rFonts w:ascii="Cambria Math" w:hAnsi="Cambria Math"/>
              <w:color w:val="000000"/>
            </w:rPr>
            <m:t>BarsDensityLand+</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7</m:t>
              </m:r>
            </m:sub>
          </m:sSub>
          <m:r>
            <w:rPr>
              <w:rFonts w:ascii="Cambria Math" w:hAnsi="Cambria Math"/>
              <w:color w:val="000000"/>
            </w:rPr>
            <m:t>%Female+</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8</m:t>
              </m:r>
            </m:sub>
          </m:sSub>
          <m:r>
            <w:rPr>
              <w:rFonts w:ascii="Cambria Math" w:hAnsi="Cambria Math"/>
              <w:color w:val="000000"/>
            </w:rPr>
            <m:t>% between 25 and 44 years old</m:t>
          </m:r>
          <m:r>
            <w:rPr>
              <w:rFonts w:ascii="Cambria Math" w:hAnsi="Cambria Math"/>
              <w:color w:val="000000"/>
            </w:rPr>
            <m:t>+ϵ</m:t>
          </m:r>
        </m:oMath>
      </m:oMathPara>
    </w:p>
    <w:p w:rsidR="007335F5" w:rsidRDefault="007335F5" w:rsidP="007335F5">
      <w:pPr>
        <w:pBdr>
          <w:top w:val="nil"/>
          <w:left w:val="nil"/>
          <w:bottom w:val="nil"/>
          <w:right w:val="nil"/>
          <w:between w:val="nil"/>
        </w:pBdr>
        <w:spacing w:after="0"/>
        <w:rPr>
          <w:color w:val="000000"/>
        </w:rPr>
      </w:pPr>
    </w:p>
    <w:p w:rsidR="0050539F" w:rsidRDefault="0050539F" w:rsidP="0050539F">
      <w:pPr>
        <w:pBdr>
          <w:top w:val="nil"/>
          <w:left w:val="nil"/>
          <w:bottom w:val="nil"/>
          <w:right w:val="nil"/>
          <w:between w:val="nil"/>
        </w:pBdr>
        <w:spacing w:after="0"/>
        <w:rPr>
          <w:color w:val="000000"/>
        </w:rPr>
      </w:pPr>
      <w:r>
        <w:rPr>
          <w:color w:val="000000"/>
        </w:rPr>
        <w:t xml:space="preserve">Via basic OLS.  </w:t>
      </w:r>
      <w:r>
        <w:rPr>
          <w:color w:val="000000"/>
        </w:rPr>
        <w:t xml:space="preserve">The strategy is to </w:t>
      </w:r>
      <w:r>
        <w:rPr>
          <w:color w:val="000000"/>
        </w:rPr>
        <w:t>estimate the number of predicted breweries per 100 square miles, and calculate the difference between that quantity and the actual number of breweries per 100 square miles.</w:t>
      </w:r>
    </w:p>
    <w:p w:rsidR="0050539F" w:rsidRDefault="0050539F" w:rsidP="004825EB">
      <w:pPr>
        <w:pBdr>
          <w:top w:val="nil"/>
          <w:left w:val="nil"/>
          <w:bottom w:val="nil"/>
          <w:right w:val="nil"/>
          <w:between w:val="nil"/>
        </w:pBdr>
        <w:spacing w:before="240"/>
        <w:rPr>
          <w:color w:val="000000"/>
        </w:rPr>
      </w:pPr>
      <m:oMathPara>
        <m:oMath>
          <m:r>
            <w:rPr>
              <w:rFonts w:ascii="Cambria Math" w:hAnsi="Cambria Math"/>
              <w:color w:val="000000"/>
            </w:rPr>
            <m:t>Missing Breweries=</m:t>
          </m:r>
          <m:d>
            <m:dPr>
              <m:ctrlPr>
                <w:rPr>
                  <w:rFonts w:ascii="Cambria Math" w:hAnsi="Cambria Math"/>
                  <w:i/>
                  <w:color w:val="000000"/>
                </w:rPr>
              </m:ctrlPr>
            </m:dPr>
            <m:e>
              <m:r>
                <w:rPr>
                  <w:rFonts w:ascii="Cambria Math" w:hAnsi="Cambria Math"/>
                  <w:color w:val="000000"/>
                </w:rPr>
                <m:t>Predicted BrewDensityLand</m:t>
              </m:r>
              <m:r>
                <w:rPr>
                  <w:rFonts w:ascii="Cambria Math" w:hAnsi="Cambria Math"/>
                  <w:color w:val="000000"/>
                </w:rPr>
                <m:t>-</m:t>
              </m:r>
              <m:r>
                <w:rPr>
                  <w:rFonts w:ascii="Cambria Math" w:hAnsi="Cambria Math"/>
                  <w:color w:val="000000"/>
                </w:rPr>
                <m:t>BrewDensityLand</m:t>
              </m:r>
            </m:e>
          </m:d>
          <m:r>
            <w:rPr>
              <w:rFonts w:ascii="Cambria Math" w:hAnsi="Cambria Math"/>
              <w:color w:val="000000"/>
            </w:rPr>
            <m:t>*</m:t>
          </m:r>
          <m:f>
            <m:fPr>
              <m:ctrlPr>
                <w:rPr>
                  <w:rFonts w:ascii="Cambria Math" w:hAnsi="Cambria Math"/>
                  <w:i/>
                  <w:color w:val="000000"/>
                </w:rPr>
              </m:ctrlPr>
            </m:fPr>
            <m:num>
              <m:r>
                <w:rPr>
                  <w:rFonts w:ascii="Cambria Math" w:hAnsi="Cambria Math"/>
                  <w:color w:val="000000"/>
                </w:rPr>
                <m:t>LandArea</m:t>
              </m:r>
            </m:num>
            <m:den>
              <m:r>
                <w:rPr>
                  <w:rFonts w:ascii="Cambria Math" w:hAnsi="Cambria Math"/>
                  <w:color w:val="000000"/>
                </w:rPr>
                <m:t>100</m:t>
              </m:r>
            </m:den>
          </m:f>
        </m:oMath>
      </m:oMathPara>
    </w:p>
    <w:p w:rsidR="0050539F" w:rsidRDefault="0050539F" w:rsidP="0050539F">
      <w:pPr>
        <w:pBdr>
          <w:top w:val="nil"/>
          <w:left w:val="nil"/>
          <w:bottom w:val="nil"/>
          <w:right w:val="nil"/>
          <w:between w:val="nil"/>
        </w:pBdr>
        <w:spacing w:after="0"/>
        <w:rPr>
          <w:color w:val="000000"/>
        </w:rPr>
      </w:pPr>
      <w:r>
        <w:rPr>
          <w:color w:val="000000"/>
        </w:rPr>
        <w:t xml:space="preserve">A positive </w:t>
      </w:r>
      <w:r w:rsidR="004825EB">
        <w:rPr>
          <w:color w:val="000000"/>
        </w:rPr>
        <w:t>result</w:t>
      </w:r>
      <w:r>
        <w:rPr>
          <w:color w:val="000000"/>
        </w:rPr>
        <w:t xml:space="preserve"> is an indication that a particular locality has </w:t>
      </w:r>
      <w:r w:rsidR="004825EB">
        <w:rPr>
          <w:color w:val="000000"/>
        </w:rPr>
        <w:t>fewer</w:t>
      </w:r>
      <w:r>
        <w:rPr>
          <w:color w:val="000000"/>
        </w:rPr>
        <w:t xml:space="preserve"> breweries per 1</w:t>
      </w:r>
      <w:r w:rsidR="004825EB">
        <w:rPr>
          <w:color w:val="000000"/>
        </w:rPr>
        <w:t>0</w:t>
      </w:r>
      <w:r>
        <w:rPr>
          <w:color w:val="000000"/>
        </w:rPr>
        <w:t>0</w:t>
      </w:r>
      <w:r w:rsidR="004825EB">
        <w:rPr>
          <w:color w:val="000000"/>
        </w:rPr>
        <w:t xml:space="preserve"> square miles</w:t>
      </w:r>
      <w:r>
        <w:rPr>
          <w:color w:val="000000"/>
        </w:rPr>
        <w:t xml:space="preserve"> than would be expected given the locality’s income, jobs, education, and population density.</w:t>
      </w:r>
    </w:p>
    <w:p w:rsidR="0050539F" w:rsidRDefault="0050539F" w:rsidP="0050539F">
      <w:pPr>
        <w:pBdr>
          <w:top w:val="nil"/>
          <w:left w:val="nil"/>
          <w:bottom w:val="nil"/>
          <w:right w:val="nil"/>
          <w:between w:val="nil"/>
        </w:pBdr>
        <w:spacing w:after="0"/>
        <w:rPr>
          <w:color w:val="000000"/>
        </w:rPr>
      </w:pPr>
    </w:p>
    <w:p w:rsidR="0050539F" w:rsidRDefault="0050539F" w:rsidP="007335F5">
      <w:pPr>
        <w:pBdr>
          <w:top w:val="nil"/>
          <w:left w:val="nil"/>
          <w:bottom w:val="nil"/>
          <w:right w:val="nil"/>
          <w:between w:val="nil"/>
        </w:pBdr>
        <w:spacing w:after="0"/>
        <w:rPr>
          <w:color w:val="000000"/>
        </w:rPr>
      </w:pPr>
      <w:r>
        <w:rPr>
          <w:color w:val="000000"/>
        </w:rPr>
        <w:t xml:space="preserve">We want to locate MSAs that are relatively underserved by breweries but not a craft-beer desert, in the assumption that a sufficient critical mass is necessary to support a new brewery, but that too many breweries would crowd out a new one. </w:t>
      </w:r>
      <w:r w:rsidR="006F1502">
        <w:rPr>
          <w:color w:val="000000"/>
        </w:rPr>
        <w:t xml:space="preserve"> We will identify the MSAs that have at least 4 “missing breweries” but fewer than 20 actual breweries.</w:t>
      </w:r>
    </w:p>
    <w:p w:rsidR="00187F91" w:rsidRDefault="00187F91" w:rsidP="00187F91">
      <w:pPr>
        <w:pStyle w:val="Heading1"/>
      </w:pPr>
      <w:r>
        <w:lastRenderedPageBreak/>
        <w:t xml:space="preserve">Results </w:t>
      </w:r>
    </w:p>
    <w:p w:rsidR="00446A70" w:rsidRDefault="00446A70" w:rsidP="00446A70">
      <w:pPr>
        <w:keepNext/>
        <w:pBdr>
          <w:top w:val="nil"/>
          <w:left w:val="nil"/>
          <w:bottom w:val="nil"/>
          <w:right w:val="nil"/>
          <w:between w:val="nil"/>
        </w:pBdr>
        <w:spacing w:after="0"/>
        <w:jc w:val="left"/>
        <w:rPr>
          <w:color w:val="000000"/>
        </w:rPr>
      </w:pPr>
      <w:r>
        <w:rPr>
          <w:color w:val="000000"/>
        </w:rPr>
        <w:t xml:space="preserve">The results are as follows.  </w:t>
      </w:r>
    </w:p>
    <w:p w:rsidR="00446A70" w:rsidRDefault="00446A70" w:rsidP="00446A70">
      <w:pPr>
        <w:pBdr>
          <w:top w:val="nil"/>
          <w:left w:val="nil"/>
          <w:bottom w:val="nil"/>
          <w:right w:val="nil"/>
          <w:between w:val="nil"/>
        </w:pBdr>
        <w:spacing w:after="0"/>
        <w:jc w:val="right"/>
        <w:rPr>
          <w:color w:val="000000"/>
        </w:rPr>
      </w:pPr>
      <w:r>
        <w:rPr>
          <w:noProof/>
          <w:color w:val="000000"/>
        </w:rPr>
        <w:drawing>
          <wp:inline distT="0" distB="0" distL="0" distR="0" wp14:anchorId="4BFE53FF" wp14:editId="76E942F0">
            <wp:extent cx="4846320" cy="432544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0C1984.tmp"/>
                    <pic:cNvPicPr/>
                  </pic:nvPicPr>
                  <pic:blipFill>
                    <a:blip r:embed="rId21">
                      <a:extLst>
                        <a:ext uri="{28A0092B-C50C-407E-A947-70E740481C1C}">
                          <a14:useLocalDpi xmlns:a14="http://schemas.microsoft.com/office/drawing/2010/main" val="0"/>
                        </a:ext>
                      </a:extLst>
                    </a:blip>
                    <a:stretch>
                      <a:fillRect/>
                    </a:stretch>
                  </pic:blipFill>
                  <pic:spPr>
                    <a:xfrm>
                      <a:off x="0" y="0"/>
                      <a:ext cx="4846320" cy="4325444"/>
                    </a:xfrm>
                    <a:prstGeom prst="rect">
                      <a:avLst/>
                    </a:prstGeom>
                  </pic:spPr>
                </pic:pic>
              </a:graphicData>
            </a:graphic>
          </wp:inline>
        </w:drawing>
      </w:r>
    </w:p>
    <w:p w:rsidR="00446A70" w:rsidRDefault="00446A70" w:rsidP="00446A70">
      <w:pPr>
        <w:pBdr>
          <w:top w:val="nil"/>
          <w:left w:val="nil"/>
          <w:bottom w:val="nil"/>
          <w:right w:val="nil"/>
          <w:between w:val="nil"/>
        </w:pBdr>
        <w:spacing w:after="0"/>
        <w:rPr>
          <w:color w:val="000000"/>
        </w:rPr>
      </w:pPr>
      <w:r>
        <w:rPr>
          <w:color w:val="000000"/>
        </w:rPr>
        <w:t>Notice the strong multi-collinearity.  Therefore the model is re-estimated as</w:t>
      </w:r>
    </w:p>
    <w:p w:rsidR="00446A70" w:rsidRDefault="00446A70" w:rsidP="00446A70">
      <w:pPr>
        <w:pBdr>
          <w:top w:val="nil"/>
          <w:left w:val="nil"/>
          <w:bottom w:val="nil"/>
          <w:right w:val="nil"/>
          <w:between w:val="nil"/>
        </w:pBdr>
        <w:spacing w:after="0"/>
        <w:rPr>
          <w:color w:val="000000"/>
        </w:rPr>
      </w:pPr>
    </w:p>
    <w:p w:rsidR="00446A70" w:rsidRPr="00D951DA" w:rsidRDefault="00446A70" w:rsidP="00446A70">
      <w:pPr>
        <w:pBdr>
          <w:top w:val="nil"/>
          <w:left w:val="nil"/>
          <w:bottom w:val="nil"/>
          <w:right w:val="nil"/>
          <w:between w:val="nil"/>
        </w:pBdr>
        <w:spacing w:after="0"/>
        <w:rPr>
          <w:color w:val="000000"/>
        </w:rPr>
      </w:pPr>
      <m:oMathPara>
        <m:oMath>
          <m:r>
            <w:rPr>
              <w:rFonts w:ascii="Cambria Math" w:hAnsi="Cambria Math"/>
              <w:color w:val="000000"/>
            </w:rPr>
            <m:t>Log of BrewDensityLand=</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0</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r>
            <w:rPr>
              <w:rFonts w:ascii="Cambria Math" w:hAnsi="Cambria Math"/>
              <w:color w:val="000000"/>
            </w:rPr>
            <m:t>JobsPopulation Ratio+</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3</m:t>
              </m:r>
            </m:sub>
          </m:sSub>
          <m:r>
            <w:rPr>
              <w:rFonts w:ascii="Cambria Math" w:hAnsi="Cambria Math"/>
              <w:color w:val="000000"/>
            </w:rPr>
            <m:t>% of over25 with more than Bachelo</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m:t>
              </m:r>
            </m:sup>
          </m:sSup>
          <m:r>
            <w:rPr>
              <w:rFonts w:ascii="Cambria Math" w:hAnsi="Cambria Math"/>
              <w:color w:val="000000"/>
            </w:rPr>
            <m:t>s+</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4</m:t>
              </m:r>
            </m:sub>
          </m:sSub>
          <m:r>
            <w:rPr>
              <w:rFonts w:ascii="Cambria Math" w:hAnsi="Cambria Math"/>
              <w:color w:val="000000"/>
            </w:rPr>
            <m:t>HousingDensity+</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7</m:t>
              </m:r>
            </m:sub>
          </m:sSub>
          <m:r>
            <w:rPr>
              <w:rFonts w:ascii="Cambria Math" w:hAnsi="Cambria Math"/>
              <w:color w:val="000000"/>
            </w:rPr>
            <m:t>BarsDensityLand+ϵ</m:t>
          </m:r>
        </m:oMath>
      </m:oMathPara>
    </w:p>
    <w:p w:rsidR="00446A70" w:rsidRDefault="00446A70" w:rsidP="00446A70">
      <w:pPr>
        <w:pBdr>
          <w:top w:val="nil"/>
          <w:left w:val="nil"/>
          <w:bottom w:val="nil"/>
          <w:right w:val="nil"/>
          <w:between w:val="nil"/>
        </w:pBdr>
        <w:spacing w:after="0"/>
        <w:rPr>
          <w:color w:val="000000"/>
        </w:rPr>
      </w:pPr>
    </w:p>
    <w:p w:rsidR="00446A70" w:rsidRDefault="00446A70" w:rsidP="00446A70">
      <w:pPr>
        <w:keepNext/>
      </w:pPr>
      <w:r>
        <w:lastRenderedPageBreak/>
        <w:t>And the results are</w:t>
      </w:r>
    </w:p>
    <w:p w:rsidR="00446A70" w:rsidRDefault="00446A70" w:rsidP="00446A70">
      <w:pPr>
        <w:jc w:val="right"/>
      </w:pPr>
      <w:r>
        <w:rPr>
          <w:noProof/>
        </w:rPr>
        <w:drawing>
          <wp:inline distT="0" distB="0" distL="0" distR="0" wp14:anchorId="6DB9E134" wp14:editId="0F017703">
            <wp:extent cx="4846320" cy="3544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0C940D.tmp"/>
                    <pic:cNvPicPr/>
                  </pic:nvPicPr>
                  <pic:blipFill>
                    <a:blip r:embed="rId22">
                      <a:extLst>
                        <a:ext uri="{28A0092B-C50C-407E-A947-70E740481C1C}">
                          <a14:useLocalDpi xmlns:a14="http://schemas.microsoft.com/office/drawing/2010/main" val="0"/>
                        </a:ext>
                      </a:extLst>
                    </a:blip>
                    <a:stretch>
                      <a:fillRect/>
                    </a:stretch>
                  </pic:blipFill>
                  <pic:spPr>
                    <a:xfrm>
                      <a:off x="0" y="0"/>
                      <a:ext cx="4846320" cy="3544135"/>
                    </a:xfrm>
                    <a:prstGeom prst="rect">
                      <a:avLst/>
                    </a:prstGeom>
                  </pic:spPr>
                </pic:pic>
              </a:graphicData>
            </a:graphic>
          </wp:inline>
        </w:drawing>
      </w:r>
    </w:p>
    <w:p w:rsidR="00446A70" w:rsidRDefault="00446A70" w:rsidP="00446A70">
      <w:r>
        <w:t>On the basis of this model and the above formula, the Missing Breweries per MSA are calculated:</w:t>
      </w:r>
    </w:p>
    <w:p w:rsidR="00446A70" w:rsidRDefault="00446A70" w:rsidP="00446A70">
      <w:pPr>
        <w:jc w:val="right"/>
      </w:pPr>
      <w:r>
        <w:rPr>
          <w:noProof/>
        </w:rPr>
        <w:drawing>
          <wp:inline distT="0" distB="0" distL="0" distR="0" wp14:anchorId="463F6FF4" wp14:editId="0AB6B085">
            <wp:extent cx="3496163" cy="2410161"/>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0C5BDE.tmp"/>
                    <pic:cNvPicPr/>
                  </pic:nvPicPr>
                  <pic:blipFill>
                    <a:blip r:embed="rId23">
                      <a:extLst>
                        <a:ext uri="{28A0092B-C50C-407E-A947-70E740481C1C}">
                          <a14:useLocalDpi xmlns:a14="http://schemas.microsoft.com/office/drawing/2010/main" val="0"/>
                        </a:ext>
                      </a:extLst>
                    </a:blip>
                    <a:stretch>
                      <a:fillRect/>
                    </a:stretch>
                  </pic:blipFill>
                  <pic:spPr>
                    <a:xfrm>
                      <a:off x="0" y="0"/>
                      <a:ext cx="3496163" cy="2410161"/>
                    </a:xfrm>
                    <a:prstGeom prst="rect">
                      <a:avLst/>
                    </a:prstGeom>
                  </pic:spPr>
                </pic:pic>
              </a:graphicData>
            </a:graphic>
          </wp:inline>
        </w:drawing>
      </w:r>
    </w:p>
    <w:p w:rsidR="00446A70" w:rsidRDefault="00446A70" w:rsidP="00446A70">
      <w:pPr>
        <w:keepNext/>
      </w:pPr>
      <w:r>
        <w:lastRenderedPageBreak/>
        <w:t xml:space="preserve">Focusing our attention on MSAs that are missing at least 4 breweries and have fewer than 20 breweries, we identify </w:t>
      </w:r>
      <w:r w:rsidR="000C6A9C">
        <w:t>68</w:t>
      </w:r>
      <w:r>
        <w:t xml:space="preserve"> MSAs.</w:t>
      </w:r>
    </w:p>
    <w:p w:rsidR="00446A70" w:rsidRDefault="00446A70" w:rsidP="00446A70">
      <w:r>
        <w:rPr>
          <w:noProof/>
        </w:rPr>
        <w:drawing>
          <wp:inline distT="0" distB="0" distL="0" distR="0" wp14:anchorId="1D9E9FBB" wp14:editId="6962925C">
            <wp:extent cx="5943600" cy="35604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0CD102.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3560445"/>
                    </a:xfrm>
                    <a:prstGeom prst="rect">
                      <a:avLst/>
                    </a:prstGeom>
                  </pic:spPr>
                </pic:pic>
              </a:graphicData>
            </a:graphic>
          </wp:inline>
        </w:drawing>
      </w:r>
    </w:p>
    <w:p w:rsidR="00187F91" w:rsidRDefault="00187F91" w:rsidP="00187F91">
      <w:pPr>
        <w:pStyle w:val="Heading1"/>
      </w:pPr>
      <w:r>
        <w:t xml:space="preserve">Discussion </w:t>
      </w:r>
    </w:p>
    <w:p w:rsidR="00187F91" w:rsidRDefault="00446A70" w:rsidP="00187F91">
      <w:r>
        <w:t xml:space="preserve">Most of the identified cities (as good candidates for a new craft brewery) are </w:t>
      </w:r>
      <w:r w:rsidR="004E28D3">
        <w:t>located in the Southeastern United States.  These are cities where the proportion of highly-educated, younger people have been rising, and where housing booms have recently taken place.  The number of craft breweries has not followed suit, making them attractive candidates.</w:t>
      </w:r>
    </w:p>
    <w:tbl>
      <w:tblPr>
        <w:tblStyle w:val="GridTable3-Accent1"/>
        <w:tblW w:w="5000" w:type="pct"/>
        <w:tblLook w:val="04A0" w:firstRow="1" w:lastRow="0" w:firstColumn="1" w:lastColumn="0" w:noHBand="0" w:noVBand="1"/>
      </w:tblPr>
      <w:tblGrid>
        <w:gridCol w:w="4555"/>
        <w:gridCol w:w="1882"/>
        <w:gridCol w:w="2923"/>
      </w:tblGrid>
      <w:tr w:rsidR="000C6A9C" w:rsidRPr="000C6A9C" w:rsidTr="000C6A9C">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553" w:type="pct"/>
            <w:noWrap/>
            <w:hideMark/>
          </w:tcPr>
          <w:p w:rsidR="000C6A9C" w:rsidRPr="000C6A9C" w:rsidRDefault="000C6A9C" w:rsidP="000C6A9C">
            <w:pPr>
              <w:jc w:val="left"/>
              <w:rPr>
                <w:rFonts w:ascii="Calibri" w:eastAsia="Times New Roman" w:hAnsi="Calibri" w:cs="Calibri"/>
                <w:color w:val="000000"/>
              </w:rPr>
            </w:pPr>
            <w:r w:rsidRPr="000C6A9C">
              <w:rPr>
                <w:rFonts w:ascii="Calibri" w:eastAsia="Times New Roman" w:hAnsi="Calibri" w:cs="Calibri"/>
                <w:color w:val="000000"/>
              </w:rPr>
              <w:t>GeoName</w:t>
            </w:r>
          </w:p>
        </w:tc>
        <w:tc>
          <w:tcPr>
            <w:tcW w:w="959" w:type="pct"/>
            <w:noWrap/>
            <w:hideMark/>
          </w:tcPr>
          <w:p w:rsidR="000C6A9C" w:rsidRPr="000C6A9C" w:rsidRDefault="000C6A9C" w:rsidP="000C6A9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Missing Breweries</w:t>
            </w:r>
          </w:p>
        </w:tc>
        <w:tc>
          <w:tcPr>
            <w:tcW w:w="1488" w:type="pct"/>
            <w:noWrap/>
            <w:hideMark/>
          </w:tcPr>
          <w:p w:rsidR="000C6A9C" w:rsidRPr="000C6A9C" w:rsidRDefault="000C6A9C" w:rsidP="000C6A9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 xml:space="preserve">Existing </w:t>
            </w:r>
            <w:r w:rsidRPr="000C6A9C">
              <w:rPr>
                <w:rFonts w:ascii="Calibri" w:eastAsia="Times New Roman" w:hAnsi="Calibri" w:cs="Calibri"/>
                <w:color w:val="000000"/>
              </w:rPr>
              <w:t>Number of Breweries</w:t>
            </w:r>
          </w:p>
        </w:tc>
      </w:tr>
      <w:tr w:rsidR="000C6A9C" w:rsidRPr="000C6A9C" w:rsidTr="000C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jc w:val="left"/>
              <w:rPr>
                <w:rFonts w:ascii="Calibri" w:hAnsi="Calibri" w:cs="Calibri"/>
                <w:color w:val="000000"/>
              </w:rPr>
            </w:pPr>
            <w:r>
              <w:rPr>
                <w:rFonts w:ascii="Calibri" w:hAnsi="Calibri" w:cs="Calibri"/>
                <w:color w:val="000000"/>
              </w:rPr>
              <w:t xml:space="preserve">North Port-Sarasota-Bradenton, FL </w:t>
            </w:r>
          </w:p>
        </w:tc>
        <w:tc>
          <w:tcPr>
            <w:tcW w:w="959"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21.94</w:t>
            </w:r>
          </w:p>
        </w:tc>
        <w:tc>
          <w:tcPr>
            <w:tcW w:w="1488"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5</w:t>
            </w:r>
          </w:p>
        </w:tc>
      </w:tr>
      <w:tr w:rsidR="000C6A9C" w:rsidRPr="000C6A9C" w:rsidTr="000C6A9C">
        <w:trPr>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Jackson, MS </w:t>
            </w:r>
          </w:p>
        </w:tc>
        <w:tc>
          <w:tcPr>
            <w:tcW w:w="959"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18.48</w:t>
            </w:r>
          </w:p>
        </w:tc>
        <w:tc>
          <w:tcPr>
            <w:tcW w:w="1488"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1</w:t>
            </w:r>
          </w:p>
        </w:tc>
      </w:tr>
      <w:tr w:rsidR="000C6A9C" w:rsidRPr="000C6A9C" w:rsidTr="000C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Memphis, TN-MS-AR </w:t>
            </w:r>
          </w:p>
        </w:tc>
        <w:tc>
          <w:tcPr>
            <w:tcW w:w="959"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18.37</w:t>
            </w:r>
          </w:p>
        </w:tc>
        <w:tc>
          <w:tcPr>
            <w:tcW w:w="1488"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7</w:t>
            </w:r>
          </w:p>
        </w:tc>
      </w:tr>
      <w:tr w:rsidR="000C6A9C" w:rsidRPr="000C6A9C" w:rsidTr="000C6A9C">
        <w:trPr>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Gainesville, FL </w:t>
            </w:r>
          </w:p>
        </w:tc>
        <w:tc>
          <w:tcPr>
            <w:tcW w:w="959"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15.48</w:t>
            </w:r>
          </w:p>
        </w:tc>
        <w:tc>
          <w:tcPr>
            <w:tcW w:w="1488"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7</w:t>
            </w:r>
          </w:p>
        </w:tc>
      </w:tr>
      <w:tr w:rsidR="000C6A9C" w:rsidRPr="000C6A9C" w:rsidTr="000C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Tallahassee, FL </w:t>
            </w:r>
          </w:p>
        </w:tc>
        <w:tc>
          <w:tcPr>
            <w:tcW w:w="959"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15.16</w:t>
            </w:r>
          </w:p>
        </w:tc>
        <w:tc>
          <w:tcPr>
            <w:tcW w:w="1488"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6</w:t>
            </w:r>
          </w:p>
        </w:tc>
      </w:tr>
      <w:tr w:rsidR="000C6A9C" w:rsidRPr="000C6A9C" w:rsidTr="000C6A9C">
        <w:trPr>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Athens-Clarke County, GA </w:t>
            </w:r>
          </w:p>
        </w:tc>
        <w:tc>
          <w:tcPr>
            <w:tcW w:w="959"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14.57</w:t>
            </w:r>
          </w:p>
        </w:tc>
        <w:tc>
          <w:tcPr>
            <w:tcW w:w="1488"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4</w:t>
            </w:r>
          </w:p>
        </w:tc>
      </w:tr>
      <w:tr w:rsidR="000C6A9C" w:rsidRPr="000C6A9C" w:rsidTr="000C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Montgomery, AL </w:t>
            </w:r>
          </w:p>
        </w:tc>
        <w:tc>
          <w:tcPr>
            <w:tcW w:w="959"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14.31</w:t>
            </w:r>
          </w:p>
        </w:tc>
        <w:tc>
          <w:tcPr>
            <w:tcW w:w="1488"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2</w:t>
            </w:r>
          </w:p>
        </w:tc>
      </w:tr>
      <w:tr w:rsidR="000C6A9C" w:rsidRPr="000C6A9C" w:rsidTr="000C6A9C">
        <w:trPr>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Hilton Head Island-Bluffton-Beaufort, SC </w:t>
            </w:r>
          </w:p>
        </w:tc>
        <w:tc>
          <w:tcPr>
            <w:tcW w:w="959"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12.07</w:t>
            </w:r>
          </w:p>
        </w:tc>
        <w:tc>
          <w:tcPr>
            <w:tcW w:w="1488"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7</w:t>
            </w:r>
          </w:p>
        </w:tc>
      </w:tr>
      <w:tr w:rsidR="000C6A9C" w:rsidRPr="000C6A9C" w:rsidTr="000C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Palm Bay-Melbourne-Titusville, FL </w:t>
            </w:r>
          </w:p>
        </w:tc>
        <w:tc>
          <w:tcPr>
            <w:tcW w:w="959"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11.87</w:t>
            </w:r>
          </w:p>
        </w:tc>
        <w:tc>
          <w:tcPr>
            <w:tcW w:w="1488"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10</w:t>
            </w:r>
          </w:p>
        </w:tc>
      </w:tr>
      <w:tr w:rsidR="000C6A9C" w:rsidRPr="000C6A9C" w:rsidTr="000C6A9C">
        <w:trPr>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Panama City, FL </w:t>
            </w:r>
          </w:p>
        </w:tc>
        <w:tc>
          <w:tcPr>
            <w:tcW w:w="959"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11.67</w:t>
            </w:r>
          </w:p>
        </w:tc>
        <w:tc>
          <w:tcPr>
            <w:tcW w:w="1488"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1</w:t>
            </w:r>
          </w:p>
        </w:tc>
      </w:tr>
      <w:tr w:rsidR="000C6A9C" w:rsidRPr="000C6A9C" w:rsidTr="000C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Mobile, AL </w:t>
            </w:r>
          </w:p>
        </w:tc>
        <w:tc>
          <w:tcPr>
            <w:tcW w:w="959"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11.41</w:t>
            </w:r>
          </w:p>
        </w:tc>
        <w:tc>
          <w:tcPr>
            <w:tcW w:w="1488"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4</w:t>
            </w:r>
          </w:p>
        </w:tc>
      </w:tr>
      <w:tr w:rsidR="000C6A9C" w:rsidRPr="000C6A9C" w:rsidTr="000C6A9C">
        <w:trPr>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Port St. Lucie, FL </w:t>
            </w:r>
          </w:p>
        </w:tc>
        <w:tc>
          <w:tcPr>
            <w:tcW w:w="959"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11.10</w:t>
            </w:r>
          </w:p>
        </w:tc>
        <w:tc>
          <w:tcPr>
            <w:tcW w:w="1488"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5</w:t>
            </w:r>
          </w:p>
        </w:tc>
      </w:tr>
      <w:tr w:rsidR="000C6A9C" w:rsidRPr="000C6A9C" w:rsidTr="000C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Manhattan, KS </w:t>
            </w:r>
          </w:p>
        </w:tc>
        <w:tc>
          <w:tcPr>
            <w:tcW w:w="959"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10.94</w:t>
            </w:r>
          </w:p>
        </w:tc>
        <w:tc>
          <w:tcPr>
            <w:tcW w:w="1488"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4</w:t>
            </w:r>
          </w:p>
        </w:tc>
      </w:tr>
      <w:tr w:rsidR="000C6A9C" w:rsidRPr="000C6A9C" w:rsidTr="000C6A9C">
        <w:trPr>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lastRenderedPageBreak/>
              <w:t xml:space="preserve">Daphne-Fairhope-Foley, AL </w:t>
            </w:r>
          </w:p>
        </w:tc>
        <w:tc>
          <w:tcPr>
            <w:tcW w:w="959"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10.88</w:t>
            </w:r>
          </w:p>
        </w:tc>
        <w:tc>
          <w:tcPr>
            <w:tcW w:w="1488"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4</w:t>
            </w:r>
          </w:p>
        </w:tc>
      </w:tr>
      <w:tr w:rsidR="000C6A9C" w:rsidRPr="000C6A9C" w:rsidTr="000C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Sebastian-Vero Beach, FL </w:t>
            </w:r>
          </w:p>
        </w:tc>
        <w:tc>
          <w:tcPr>
            <w:tcW w:w="959"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10.57</w:t>
            </w:r>
          </w:p>
        </w:tc>
        <w:tc>
          <w:tcPr>
            <w:tcW w:w="1488"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6</w:t>
            </w:r>
          </w:p>
        </w:tc>
      </w:tr>
      <w:tr w:rsidR="000C6A9C" w:rsidRPr="000C6A9C" w:rsidTr="000C6A9C">
        <w:trPr>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Lexington-Fayette, KY </w:t>
            </w:r>
          </w:p>
        </w:tc>
        <w:tc>
          <w:tcPr>
            <w:tcW w:w="959"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10.04</w:t>
            </w:r>
          </w:p>
        </w:tc>
        <w:tc>
          <w:tcPr>
            <w:tcW w:w="1488"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16</w:t>
            </w:r>
          </w:p>
        </w:tc>
      </w:tr>
      <w:tr w:rsidR="000C6A9C" w:rsidRPr="000C6A9C" w:rsidTr="000C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Auburn-Opelika, AL </w:t>
            </w:r>
          </w:p>
        </w:tc>
        <w:tc>
          <w:tcPr>
            <w:tcW w:w="959"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9.78</w:t>
            </w:r>
          </w:p>
        </w:tc>
        <w:tc>
          <w:tcPr>
            <w:tcW w:w="1488"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2</w:t>
            </w:r>
          </w:p>
        </w:tc>
      </w:tr>
      <w:tr w:rsidR="000C6A9C" w:rsidRPr="000C6A9C" w:rsidTr="000C6A9C">
        <w:trPr>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Columbia, SC </w:t>
            </w:r>
          </w:p>
        </w:tc>
        <w:tc>
          <w:tcPr>
            <w:tcW w:w="959"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9.64</w:t>
            </w:r>
          </w:p>
        </w:tc>
        <w:tc>
          <w:tcPr>
            <w:tcW w:w="1488"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14</w:t>
            </w:r>
          </w:p>
        </w:tc>
      </w:tr>
      <w:tr w:rsidR="000C6A9C" w:rsidRPr="000C6A9C" w:rsidTr="000C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Birmingham-Hoover, AL </w:t>
            </w:r>
          </w:p>
        </w:tc>
        <w:tc>
          <w:tcPr>
            <w:tcW w:w="959"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9.63</w:t>
            </w:r>
          </w:p>
        </w:tc>
        <w:tc>
          <w:tcPr>
            <w:tcW w:w="1488"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16</w:t>
            </w:r>
          </w:p>
        </w:tc>
      </w:tr>
      <w:tr w:rsidR="000C6A9C" w:rsidRPr="000C6A9C" w:rsidTr="000C6A9C">
        <w:trPr>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La Crosse-Onalaska, WI-MN </w:t>
            </w:r>
          </w:p>
        </w:tc>
        <w:tc>
          <w:tcPr>
            <w:tcW w:w="959"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9.22</w:t>
            </w:r>
          </w:p>
        </w:tc>
        <w:tc>
          <w:tcPr>
            <w:tcW w:w="1488"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6</w:t>
            </w:r>
          </w:p>
        </w:tc>
      </w:tr>
      <w:tr w:rsidR="000C6A9C" w:rsidRPr="000C6A9C" w:rsidTr="000C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Waco, TX </w:t>
            </w:r>
          </w:p>
        </w:tc>
        <w:tc>
          <w:tcPr>
            <w:tcW w:w="959"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8.86</w:t>
            </w:r>
          </w:p>
        </w:tc>
        <w:tc>
          <w:tcPr>
            <w:tcW w:w="1488"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3</w:t>
            </w:r>
          </w:p>
        </w:tc>
      </w:tr>
      <w:tr w:rsidR="000C6A9C" w:rsidRPr="000C6A9C" w:rsidTr="000C6A9C">
        <w:trPr>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Huntsville, AL </w:t>
            </w:r>
          </w:p>
        </w:tc>
        <w:tc>
          <w:tcPr>
            <w:tcW w:w="959"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8.85</w:t>
            </w:r>
          </w:p>
        </w:tc>
        <w:tc>
          <w:tcPr>
            <w:tcW w:w="1488"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16</w:t>
            </w:r>
          </w:p>
        </w:tc>
      </w:tr>
      <w:tr w:rsidR="000C6A9C" w:rsidRPr="000C6A9C" w:rsidTr="000C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Provo-Orem, UT </w:t>
            </w:r>
          </w:p>
        </w:tc>
        <w:tc>
          <w:tcPr>
            <w:tcW w:w="959"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8.74</w:t>
            </w:r>
          </w:p>
        </w:tc>
        <w:tc>
          <w:tcPr>
            <w:tcW w:w="1488"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6</w:t>
            </w:r>
          </w:p>
        </w:tc>
      </w:tr>
      <w:tr w:rsidR="000C6A9C" w:rsidRPr="000C6A9C" w:rsidTr="000C6A9C">
        <w:trPr>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Rochester, MN </w:t>
            </w:r>
          </w:p>
        </w:tc>
        <w:tc>
          <w:tcPr>
            <w:tcW w:w="959"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8.69</w:t>
            </w:r>
          </w:p>
        </w:tc>
        <w:tc>
          <w:tcPr>
            <w:tcW w:w="1488"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9</w:t>
            </w:r>
          </w:p>
        </w:tc>
      </w:tr>
      <w:tr w:rsidR="000C6A9C" w:rsidRPr="000C6A9C" w:rsidTr="000C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Topeka, KS </w:t>
            </w:r>
          </w:p>
        </w:tc>
        <w:tc>
          <w:tcPr>
            <w:tcW w:w="959"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8.52</w:t>
            </w:r>
          </w:p>
        </w:tc>
        <w:tc>
          <w:tcPr>
            <w:tcW w:w="1488"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5</w:t>
            </w:r>
          </w:p>
        </w:tc>
      </w:tr>
      <w:tr w:rsidR="000C6A9C" w:rsidRPr="000C6A9C" w:rsidTr="000C6A9C">
        <w:trPr>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The Villages, FL </w:t>
            </w:r>
          </w:p>
        </w:tc>
        <w:tc>
          <w:tcPr>
            <w:tcW w:w="959"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8.49</w:t>
            </w:r>
          </w:p>
        </w:tc>
        <w:tc>
          <w:tcPr>
            <w:tcW w:w="1488"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5</w:t>
            </w:r>
          </w:p>
        </w:tc>
      </w:tr>
      <w:tr w:rsidR="000C6A9C" w:rsidRPr="000C6A9C" w:rsidTr="000C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Midland, MI </w:t>
            </w:r>
          </w:p>
        </w:tc>
        <w:tc>
          <w:tcPr>
            <w:tcW w:w="959"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8.29</w:t>
            </w:r>
          </w:p>
        </w:tc>
        <w:tc>
          <w:tcPr>
            <w:tcW w:w="1488"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7</w:t>
            </w:r>
          </w:p>
        </w:tc>
      </w:tr>
      <w:tr w:rsidR="000C6A9C" w:rsidRPr="000C6A9C" w:rsidTr="000C6A9C">
        <w:trPr>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Flint, MI </w:t>
            </w:r>
          </w:p>
        </w:tc>
        <w:tc>
          <w:tcPr>
            <w:tcW w:w="959"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8.03</w:t>
            </w:r>
          </w:p>
        </w:tc>
        <w:tc>
          <w:tcPr>
            <w:tcW w:w="1488"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8</w:t>
            </w:r>
          </w:p>
        </w:tc>
      </w:tr>
      <w:tr w:rsidR="000C6A9C" w:rsidRPr="000C6A9C" w:rsidTr="000C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Kahului-Wailuku-Lahaina, HI </w:t>
            </w:r>
          </w:p>
        </w:tc>
        <w:tc>
          <w:tcPr>
            <w:tcW w:w="959"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7.98</w:t>
            </w:r>
          </w:p>
        </w:tc>
        <w:tc>
          <w:tcPr>
            <w:tcW w:w="1488"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5</w:t>
            </w:r>
          </w:p>
        </w:tc>
      </w:tr>
      <w:tr w:rsidR="000C6A9C" w:rsidRPr="000C6A9C" w:rsidTr="000C6A9C">
        <w:trPr>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Hattiesburg, MS </w:t>
            </w:r>
          </w:p>
        </w:tc>
        <w:tc>
          <w:tcPr>
            <w:tcW w:w="959"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7.98</w:t>
            </w:r>
          </w:p>
        </w:tc>
        <w:tc>
          <w:tcPr>
            <w:tcW w:w="1488"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2</w:t>
            </w:r>
          </w:p>
        </w:tc>
      </w:tr>
      <w:tr w:rsidR="000C6A9C" w:rsidRPr="000C6A9C" w:rsidTr="000C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Lima, OH </w:t>
            </w:r>
          </w:p>
        </w:tc>
        <w:tc>
          <w:tcPr>
            <w:tcW w:w="959"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7.95</w:t>
            </w:r>
          </w:p>
        </w:tc>
        <w:tc>
          <w:tcPr>
            <w:tcW w:w="1488"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2</w:t>
            </w:r>
          </w:p>
        </w:tc>
      </w:tr>
      <w:tr w:rsidR="000C6A9C" w:rsidRPr="000C6A9C" w:rsidTr="000C6A9C">
        <w:trPr>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Tuscaloosa, AL </w:t>
            </w:r>
          </w:p>
        </w:tc>
        <w:tc>
          <w:tcPr>
            <w:tcW w:w="959"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7.79</w:t>
            </w:r>
          </w:p>
        </w:tc>
        <w:tc>
          <w:tcPr>
            <w:tcW w:w="1488"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3</w:t>
            </w:r>
          </w:p>
        </w:tc>
      </w:tr>
      <w:tr w:rsidR="000C6A9C" w:rsidRPr="000C6A9C" w:rsidTr="000C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Warner Robins, GA </w:t>
            </w:r>
          </w:p>
        </w:tc>
        <w:tc>
          <w:tcPr>
            <w:tcW w:w="959"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7.74</w:t>
            </w:r>
          </w:p>
        </w:tc>
        <w:tc>
          <w:tcPr>
            <w:tcW w:w="1488"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5</w:t>
            </w:r>
          </w:p>
        </w:tc>
      </w:tr>
      <w:tr w:rsidR="000C6A9C" w:rsidRPr="000C6A9C" w:rsidTr="000C6A9C">
        <w:trPr>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Spartanburg, SC </w:t>
            </w:r>
          </w:p>
        </w:tc>
        <w:tc>
          <w:tcPr>
            <w:tcW w:w="959"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7.71</w:t>
            </w:r>
          </w:p>
        </w:tc>
        <w:tc>
          <w:tcPr>
            <w:tcW w:w="1488"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7</w:t>
            </w:r>
          </w:p>
        </w:tc>
      </w:tr>
      <w:tr w:rsidR="000C6A9C" w:rsidRPr="000C6A9C" w:rsidTr="000C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Jefferson City, MO </w:t>
            </w:r>
          </w:p>
        </w:tc>
        <w:tc>
          <w:tcPr>
            <w:tcW w:w="959"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7.62</w:t>
            </w:r>
          </w:p>
        </w:tc>
        <w:tc>
          <w:tcPr>
            <w:tcW w:w="1488"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1</w:t>
            </w:r>
          </w:p>
        </w:tc>
      </w:tr>
      <w:tr w:rsidR="000C6A9C" w:rsidRPr="000C6A9C" w:rsidTr="000C6A9C">
        <w:trPr>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Ocala, FL </w:t>
            </w:r>
          </w:p>
        </w:tc>
        <w:tc>
          <w:tcPr>
            <w:tcW w:w="959"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7.54</w:t>
            </w:r>
          </w:p>
        </w:tc>
        <w:tc>
          <w:tcPr>
            <w:tcW w:w="1488"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3</w:t>
            </w:r>
          </w:p>
        </w:tc>
      </w:tr>
      <w:tr w:rsidR="000C6A9C" w:rsidRPr="000C6A9C" w:rsidTr="000C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Pensacola-Ferry Pass-Brent, FL </w:t>
            </w:r>
          </w:p>
        </w:tc>
        <w:tc>
          <w:tcPr>
            <w:tcW w:w="959"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7.39</w:t>
            </w:r>
          </w:p>
        </w:tc>
        <w:tc>
          <w:tcPr>
            <w:tcW w:w="1488"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9</w:t>
            </w:r>
          </w:p>
        </w:tc>
      </w:tr>
      <w:tr w:rsidR="000C6A9C" w:rsidRPr="000C6A9C" w:rsidTr="000C6A9C">
        <w:trPr>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Lakeland-Winter Haven, FL </w:t>
            </w:r>
          </w:p>
        </w:tc>
        <w:tc>
          <w:tcPr>
            <w:tcW w:w="959"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7.31</w:t>
            </w:r>
          </w:p>
        </w:tc>
        <w:tc>
          <w:tcPr>
            <w:tcW w:w="1488"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6</w:t>
            </w:r>
          </w:p>
        </w:tc>
      </w:tr>
      <w:tr w:rsidR="000C6A9C" w:rsidRPr="000C6A9C" w:rsidTr="000C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Punta Gorda, FL </w:t>
            </w:r>
          </w:p>
        </w:tc>
        <w:tc>
          <w:tcPr>
            <w:tcW w:w="959"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7.29</w:t>
            </w:r>
          </w:p>
        </w:tc>
        <w:tc>
          <w:tcPr>
            <w:tcW w:w="1488"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5</w:t>
            </w:r>
          </w:p>
        </w:tc>
      </w:tr>
      <w:tr w:rsidR="000C6A9C" w:rsidRPr="000C6A9C" w:rsidTr="000C6A9C">
        <w:trPr>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Beaumont-Port Arthur, TX </w:t>
            </w:r>
          </w:p>
        </w:tc>
        <w:tc>
          <w:tcPr>
            <w:tcW w:w="959"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6.94</w:t>
            </w:r>
          </w:p>
        </w:tc>
        <w:tc>
          <w:tcPr>
            <w:tcW w:w="1488"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3</w:t>
            </w:r>
          </w:p>
        </w:tc>
      </w:tr>
      <w:tr w:rsidR="000C6A9C" w:rsidRPr="000C6A9C" w:rsidTr="000C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Charleston, WV </w:t>
            </w:r>
          </w:p>
        </w:tc>
        <w:tc>
          <w:tcPr>
            <w:tcW w:w="959"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6.80</w:t>
            </w:r>
          </w:p>
        </w:tc>
        <w:tc>
          <w:tcPr>
            <w:tcW w:w="1488"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6</w:t>
            </w:r>
          </w:p>
        </w:tc>
      </w:tr>
      <w:tr w:rsidR="000C6A9C" w:rsidRPr="000C6A9C" w:rsidTr="000C6A9C">
        <w:trPr>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Chico, CA </w:t>
            </w:r>
          </w:p>
        </w:tc>
        <w:tc>
          <w:tcPr>
            <w:tcW w:w="959"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6.40</w:t>
            </w:r>
          </w:p>
        </w:tc>
        <w:tc>
          <w:tcPr>
            <w:tcW w:w="1488"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5</w:t>
            </w:r>
          </w:p>
        </w:tc>
      </w:tr>
      <w:tr w:rsidR="000C6A9C" w:rsidRPr="000C6A9C" w:rsidTr="000C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Gulfport-Biloxi-Pascagoula, MS </w:t>
            </w:r>
          </w:p>
        </w:tc>
        <w:tc>
          <w:tcPr>
            <w:tcW w:w="959"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6.34</w:t>
            </w:r>
          </w:p>
        </w:tc>
        <w:tc>
          <w:tcPr>
            <w:tcW w:w="1488"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5</w:t>
            </w:r>
          </w:p>
        </w:tc>
      </w:tr>
      <w:tr w:rsidR="000C6A9C" w:rsidRPr="000C6A9C" w:rsidTr="000C6A9C">
        <w:trPr>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Huntington-Ashland, WV-KY-OH </w:t>
            </w:r>
          </w:p>
        </w:tc>
        <w:tc>
          <w:tcPr>
            <w:tcW w:w="959"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6.14</w:t>
            </w:r>
          </w:p>
        </w:tc>
        <w:tc>
          <w:tcPr>
            <w:tcW w:w="1488"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4</w:t>
            </w:r>
          </w:p>
        </w:tc>
      </w:tr>
      <w:tr w:rsidR="000C6A9C" w:rsidRPr="000C6A9C" w:rsidTr="000C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Lafayette, LA </w:t>
            </w:r>
          </w:p>
        </w:tc>
        <w:tc>
          <w:tcPr>
            <w:tcW w:w="959"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6.10</w:t>
            </w:r>
          </w:p>
        </w:tc>
        <w:tc>
          <w:tcPr>
            <w:tcW w:w="1488"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7</w:t>
            </w:r>
          </w:p>
        </w:tc>
      </w:tr>
      <w:tr w:rsidR="000C6A9C" w:rsidRPr="000C6A9C" w:rsidTr="000C6A9C">
        <w:trPr>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Savannah, GA </w:t>
            </w:r>
          </w:p>
        </w:tc>
        <w:tc>
          <w:tcPr>
            <w:tcW w:w="959"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6.01</w:t>
            </w:r>
          </w:p>
        </w:tc>
        <w:tc>
          <w:tcPr>
            <w:tcW w:w="1488"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13</w:t>
            </w:r>
          </w:p>
        </w:tc>
      </w:tr>
      <w:tr w:rsidR="000C6A9C" w:rsidRPr="000C6A9C" w:rsidTr="000C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Mankato-North Mankato, MN </w:t>
            </w:r>
          </w:p>
        </w:tc>
        <w:tc>
          <w:tcPr>
            <w:tcW w:w="959"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5.68</w:t>
            </w:r>
          </w:p>
        </w:tc>
        <w:tc>
          <w:tcPr>
            <w:tcW w:w="1488"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7</w:t>
            </w:r>
          </w:p>
        </w:tc>
      </w:tr>
      <w:tr w:rsidR="000C6A9C" w:rsidRPr="000C6A9C" w:rsidTr="000C6A9C">
        <w:trPr>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Kokomo, IN </w:t>
            </w:r>
          </w:p>
        </w:tc>
        <w:tc>
          <w:tcPr>
            <w:tcW w:w="959"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5.68</w:t>
            </w:r>
          </w:p>
        </w:tc>
        <w:tc>
          <w:tcPr>
            <w:tcW w:w="1488"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2</w:t>
            </w:r>
          </w:p>
        </w:tc>
      </w:tr>
      <w:tr w:rsidR="000C6A9C" w:rsidRPr="000C6A9C" w:rsidTr="000C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Shreveport-Bossier City, LA </w:t>
            </w:r>
          </w:p>
        </w:tc>
        <w:tc>
          <w:tcPr>
            <w:tcW w:w="959"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5.57</w:t>
            </w:r>
          </w:p>
        </w:tc>
        <w:tc>
          <w:tcPr>
            <w:tcW w:w="1488"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8</w:t>
            </w:r>
          </w:p>
        </w:tc>
      </w:tr>
      <w:tr w:rsidR="000C6A9C" w:rsidRPr="000C6A9C" w:rsidTr="000C6A9C">
        <w:trPr>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Amarillo, TX </w:t>
            </w:r>
          </w:p>
        </w:tc>
        <w:tc>
          <w:tcPr>
            <w:tcW w:w="959"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5.29</w:t>
            </w:r>
          </w:p>
        </w:tc>
        <w:tc>
          <w:tcPr>
            <w:tcW w:w="1488"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4</w:t>
            </w:r>
          </w:p>
        </w:tc>
      </w:tr>
      <w:tr w:rsidR="000C6A9C" w:rsidRPr="000C6A9C" w:rsidTr="000C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Erie, PA </w:t>
            </w:r>
          </w:p>
        </w:tc>
        <w:tc>
          <w:tcPr>
            <w:tcW w:w="959"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5.18</w:t>
            </w:r>
          </w:p>
        </w:tc>
        <w:tc>
          <w:tcPr>
            <w:tcW w:w="1488"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12</w:t>
            </w:r>
          </w:p>
        </w:tc>
      </w:tr>
      <w:tr w:rsidR="000C6A9C" w:rsidRPr="000C6A9C" w:rsidTr="000C6A9C">
        <w:trPr>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Parkersburg-Vienna, WV </w:t>
            </w:r>
          </w:p>
        </w:tc>
        <w:tc>
          <w:tcPr>
            <w:tcW w:w="959"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5.15</w:t>
            </w:r>
          </w:p>
        </w:tc>
        <w:tc>
          <w:tcPr>
            <w:tcW w:w="1488"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3</w:t>
            </w:r>
          </w:p>
        </w:tc>
      </w:tr>
      <w:tr w:rsidR="000C6A9C" w:rsidRPr="000C6A9C" w:rsidTr="000C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Tyler, TX </w:t>
            </w:r>
          </w:p>
        </w:tc>
        <w:tc>
          <w:tcPr>
            <w:tcW w:w="959"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5.11</w:t>
            </w:r>
          </w:p>
        </w:tc>
        <w:tc>
          <w:tcPr>
            <w:tcW w:w="1488"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5</w:t>
            </w:r>
          </w:p>
        </w:tc>
      </w:tr>
      <w:tr w:rsidR="000C6A9C" w:rsidRPr="000C6A9C" w:rsidTr="000C6A9C">
        <w:trPr>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Sioux City, IA-NE-SD </w:t>
            </w:r>
          </w:p>
        </w:tc>
        <w:tc>
          <w:tcPr>
            <w:tcW w:w="959"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5.07</w:t>
            </w:r>
          </w:p>
        </w:tc>
        <w:tc>
          <w:tcPr>
            <w:tcW w:w="1488"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4</w:t>
            </w:r>
          </w:p>
        </w:tc>
      </w:tr>
      <w:tr w:rsidR="000C6A9C" w:rsidRPr="000C6A9C" w:rsidTr="000C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lastRenderedPageBreak/>
              <w:t xml:space="preserve">Homosassa Springs, FL </w:t>
            </w:r>
          </w:p>
        </w:tc>
        <w:tc>
          <w:tcPr>
            <w:tcW w:w="959"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5.03</w:t>
            </w:r>
          </w:p>
        </w:tc>
        <w:tc>
          <w:tcPr>
            <w:tcW w:w="1488"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4</w:t>
            </w:r>
          </w:p>
        </w:tc>
      </w:tr>
      <w:tr w:rsidR="000C6A9C" w:rsidRPr="000C6A9C" w:rsidTr="000C6A9C">
        <w:trPr>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Saginaw, MI </w:t>
            </w:r>
          </w:p>
        </w:tc>
        <w:tc>
          <w:tcPr>
            <w:tcW w:w="959"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4.98</w:t>
            </w:r>
          </w:p>
        </w:tc>
        <w:tc>
          <w:tcPr>
            <w:tcW w:w="1488"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7</w:t>
            </w:r>
          </w:p>
        </w:tc>
      </w:tr>
      <w:tr w:rsidR="000C6A9C" w:rsidRPr="000C6A9C" w:rsidTr="000C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Hot Springs, AR </w:t>
            </w:r>
          </w:p>
        </w:tc>
        <w:tc>
          <w:tcPr>
            <w:tcW w:w="959"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4.84</w:t>
            </w:r>
          </w:p>
        </w:tc>
        <w:tc>
          <w:tcPr>
            <w:tcW w:w="1488"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3</w:t>
            </w:r>
          </w:p>
        </w:tc>
      </w:tr>
      <w:tr w:rsidR="000C6A9C" w:rsidRPr="000C6A9C" w:rsidTr="000C6A9C">
        <w:trPr>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Naples-Immokalee-Marco Island, FL </w:t>
            </w:r>
          </w:p>
        </w:tc>
        <w:tc>
          <w:tcPr>
            <w:tcW w:w="959"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4.73</w:t>
            </w:r>
          </w:p>
        </w:tc>
        <w:tc>
          <w:tcPr>
            <w:tcW w:w="1488"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17</w:t>
            </w:r>
          </w:p>
        </w:tc>
      </w:tr>
      <w:tr w:rsidR="000C6A9C" w:rsidRPr="000C6A9C" w:rsidTr="000C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Springfield, MO </w:t>
            </w:r>
          </w:p>
        </w:tc>
        <w:tc>
          <w:tcPr>
            <w:tcW w:w="959"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4.69</w:t>
            </w:r>
          </w:p>
        </w:tc>
        <w:tc>
          <w:tcPr>
            <w:tcW w:w="1488"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12</w:t>
            </w:r>
          </w:p>
        </w:tc>
      </w:tr>
      <w:tr w:rsidR="000C6A9C" w:rsidRPr="000C6A9C" w:rsidTr="000C6A9C">
        <w:trPr>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College Station-Bryan, TX </w:t>
            </w:r>
          </w:p>
        </w:tc>
        <w:tc>
          <w:tcPr>
            <w:tcW w:w="959"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4.63</w:t>
            </w:r>
          </w:p>
        </w:tc>
        <w:tc>
          <w:tcPr>
            <w:tcW w:w="1488"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11</w:t>
            </w:r>
          </w:p>
        </w:tc>
      </w:tr>
      <w:tr w:rsidR="000C6A9C" w:rsidRPr="000C6A9C" w:rsidTr="000C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Lake Charles, LA </w:t>
            </w:r>
          </w:p>
        </w:tc>
        <w:tc>
          <w:tcPr>
            <w:tcW w:w="959"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4.56</w:t>
            </w:r>
          </w:p>
        </w:tc>
        <w:tc>
          <w:tcPr>
            <w:tcW w:w="1488"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3</w:t>
            </w:r>
          </w:p>
        </w:tc>
      </w:tr>
      <w:tr w:rsidR="000C6A9C" w:rsidRPr="000C6A9C" w:rsidTr="000C6A9C">
        <w:trPr>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Greenville, NC </w:t>
            </w:r>
          </w:p>
        </w:tc>
        <w:tc>
          <w:tcPr>
            <w:tcW w:w="959"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4.52</w:t>
            </w:r>
          </w:p>
        </w:tc>
        <w:tc>
          <w:tcPr>
            <w:tcW w:w="1488"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11</w:t>
            </w:r>
          </w:p>
        </w:tc>
      </w:tr>
      <w:tr w:rsidR="000C6A9C" w:rsidRPr="000C6A9C" w:rsidTr="000C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Brownsville-Harlingen, TX </w:t>
            </w:r>
          </w:p>
        </w:tc>
        <w:tc>
          <w:tcPr>
            <w:tcW w:w="959"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4.22</w:t>
            </w:r>
          </w:p>
        </w:tc>
        <w:tc>
          <w:tcPr>
            <w:tcW w:w="1488"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3</w:t>
            </w:r>
          </w:p>
        </w:tc>
      </w:tr>
      <w:tr w:rsidR="000C6A9C" w:rsidRPr="000C6A9C" w:rsidTr="000C6A9C">
        <w:trPr>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Florence-Muscle Shoals, AL </w:t>
            </w:r>
          </w:p>
        </w:tc>
        <w:tc>
          <w:tcPr>
            <w:tcW w:w="959"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4.19</w:t>
            </w:r>
          </w:p>
        </w:tc>
        <w:tc>
          <w:tcPr>
            <w:tcW w:w="1488"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1</w:t>
            </w:r>
          </w:p>
        </w:tc>
      </w:tr>
      <w:tr w:rsidR="000C6A9C" w:rsidRPr="000C6A9C" w:rsidTr="000C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Valdosta, GA </w:t>
            </w:r>
          </w:p>
        </w:tc>
        <w:tc>
          <w:tcPr>
            <w:tcW w:w="959"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4.11</w:t>
            </w:r>
          </w:p>
        </w:tc>
        <w:tc>
          <w:tcPr>
            <w:tcW w:w="1488"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1</w:t>
            </w:r>
          </w:p>
        </w:tc>
      </w:tr>
      <w:tr w:rsidR="000C6A9C" w:rsidRPr="000C6A9C" w:rsidTr="000C6A9C">
        <w:trPr>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Alexandria, LA </w:t>
            </w:r>
          </w:p>
        </w:tc>
        <w:tc>
          <w:tcPr>
            <w:tcW w:w="959"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4.09</w:t>
            </w:r>
          </w:p>
        </w:tc>
        <w:tc>
          <w:tcPr>
            <w:tcW w:w="1488"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1</w:t>
            </w:r>
          </w:p>
        </w:tc>
      </w:tr>
      <w:tr w:rsidR="000C6A9C" w:rsidRPr="000C6A9C" w:rsidTr="000C6A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Jonesboro, AR </w:t>
            </w:r>
          </w:p>
        </w:tc>
        <w:tc>
          <w:tcPr>
            <w:tcW w:w="959"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4.08</w:t>
            </w:r>
          </w:p>
        </w:tc>
        <w:tc>
          <w:tcPr>
            <w:tcW w:w="1488" w:type="pct"/>
            <w:noWrap/>
            <w:hideMark/>
          </w:tcPr>
          <w:p w:rsidR="000C6A9C" w:rsidRPr="000C6A9C" w:rsidRDefault="000C6A9C" w:rsidP="000C6A9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1</w:t>
            </w:r>
          </w:p>
        </w:tc>
      </w:tr>
      <w:tr w:rsidR="000C6A9C" w:rsidRPr="000C6A9C" w:rsidTr="000C6A9C">
        <w:trPr>
          <w:trHeight w:val="300"/>
        </w:trPr>
        <w:tc>
          <w:tcPr>
            <w:cnfStyle w:val="001000000000" w:firstRow="0" w:lastRow="0" w:firstColumn="1" w:lastColumn="0" w:oddVBand="0" w:evenVBand="0" w:oddHBand="0" w:evenHBand="0" w:firstRowFirstColumn="0" w:firstRowLastColumn="0" w:lastRowFirstColumn="0" w:lastRowLastColumn="0"/>
            <w:tcW w:w="2553" w:type="pct"/>
            <w:noWrap/>
            <w:hideMark/>
          </w:tcPr>
          <w:p w:rsidR="000C6A9C" w:rsidRDefault="000C6A9C" w:rsidP="000C6A9C">
            <w:pPr>
              <w:rPr>
                <w:rFonts w:ascii="Calibri" w:hAnsi="Calibri" w:cs="Calibri"/>
                <w:color w:val="000000"/>
              </w:rPr>
            </w:pPr>
            <w:r>
              <w:rPr>
                <w:rFonts w:ascii="Calibri" w:hAnsi="Calibri" w:cs="Calibri"/>
                <w:color w:val="000000"/>
              </w:rPr>
              <w:t xml:space="preserve">Bowling Green, KY </w:t>
            </w:r>
          </w:p>
        </w:tc>
        <w:tc>
          <w:tcPr>
            <w:tcW w:w="959"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4.02</w:t>
            </w:r>
          </w:p>
        </w:tc>
        <w:tc>
          <w:tcPr>
            <w:tcW w:w="1488" w:type="pct"/>
            <w:noWrap/>
            <w:hideMark/>
          </w:tcPr>
          <w:p w:rsidR="000C6A9C" w:rsidRPr="000C6A9C" w:rsidRDefault="000C6A9C" w:rsidP="000C6A9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0C6A9C">
              <w:rPr>
                <w:rFonts w:ascii="Calibri" w:eastAsia="Times New Roman" w:hAnsi="Calibri" w:cs="Calibri"/>
                <w:color w:val="000000"/>
              </w:rPr>
              <w:t>2</w:t>
            </w:r>
          </w:p>
        </w:tc>
      </w:tr>
    </w:tbl>
    <w:p w:rsidR="000C6A9C" w:rsidRDefault="000C6A9C" w:rsidP="00187F91"/>
    <w:p w:rsidR="004E28D3" w:rsidRDefault="004E28D3" w:rsidP="004E28D3">
      <w:pPr>
        <w:pStyle w:val="Heading2"/>
      </w:pPr>
      <w:r>
        <w:t>Limitations</w:t>
      </w:r>
    </w:p>
    <w:p w:rsidR="004E28D3" w:rsidRPr="004E28D3" w:rsidRDefault="004E28D3" w:rsidP="004E28D3">
      <w:r>
        <w:t xml:space="preserve">The biggest limitation of this study is that it relied on a free version of Foursquare, which limits to 50 results per search.  In practical terms, this means that we only get 50 breweries per MSA.  </w:t>
      </w:r>
      <w:r w:rsidR="002F5494">
        <w:t xml:space="preserve">Two solutions suggest themselves readily: one is to use a censored regression.  Another is to </w:t>
      </w:r>
      <w:r w:rsidR="00B46CB3">
        <w:t xml:space="preserve">redefine the geographical area to be a zip-code or a census-tract.  Both of these </w:t>
      </w:r>
      <w:r w:rsidR="000C6A9C">
        <w:t>corrections would produce a better estimate.</w:t>
      </w:r>
    </w:p>
    <w:p w:rsidR="00187F91" w:rsidRDefault="00187F91" w:rsidP="00187F91">
      <w:pPr>
        <w:pStyle w:val="Heading1"/>
      </w:pPr>
      <w:r>
        <w:t xml:space="preserve">Conclusion </w:t>
      </w:r>
    </w:p>
    <w:p w:rsidR="00D900DF" w:rsidRDefault="00223BC2" w:rsidP="00187F91">
      <w:r>
        <w:t xml:space="preserve">This report </w:t>
      </w:r>
      <w:r w:rsidR="007F094F">
        <w:t>has examined the determinants of craft brewery location in metropolitan statistical areas of the United States, with the aim of guiding the location decisions of enterprising brewers.</w:t>
      </w:r>
      <w:r w:rsidR="00C84956">
        <w:t xml:space="preserve">  It was found that income, jobs, age, and gender were generally poor predictors, while housing (and population) density and educational attainment tended to predict brewery location fairly well.  The basis of this information, we identified nearly 70 MSAs that would provide fertile ground for new-brewery location.</w:t>
      </w:r>
      <w:bookmarkStart w:id="1" w:name="_GoBack"/>
      <w:bookmarkEnd w:id="1"/>
    </w:p>
    <w:sectPr w:rsidR="00D900D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0FC4" w:rsidRDefault="00CC0FC4" w:rsidP="00AB39D0">
      <w:pPr>
        <w:spacing w:after="0" w:line="240" w:lineRule="auto"/>
      </w:pPr>
      <w:r>
        <w:separator/>
      </w:r>
    </w:p>
  </w:endnote>
  <w:endnote w:type="continuationSeparator" w:id="0">
    <w:p w:rsidR="00CC0FC4" w:rsidRDefault="00CC0FC4" w:rsidP="00AB39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0FC4" w:rsidRDefault="00CC0FC4" w:rsidP="00AB39D0">
      <w:pPr>
        <w:spacing w:after="0" w:line="240" w:lineRule="auto"/>
      </w:pPr>
      <w:r>
        <w:separator/>
      </w:r>
    </w:p>
  </w:footnote>
  <w:footnote w:type="continuationSeparator" w:id="0">
    <w:p w:rsidR="00CC0FC4" w:rsidRDefault="00CC0FC4" w:rsidP="00AB39D0">
      <w:pPr>
        <w:spacing w:after="0" w:line="240" w:lineRule="auto"/>
      </w:pPr>
      <w:r>
        <w:continuationSeparator/>
      </w:r>
    </w:p>
  </w:footnote>
  <w:footnote w:id="1">
    <w:p w:rsidR="00E34B5B" w:rsidRDefault="00E34B5B">
      <w:pPr>
        <w:pStyle w:val="FootnoteText"/>
      </w:pPr>
      <w:r>
        <w:rPr>
          <w:rStyle w:val="FootnoteReference"/>
        </w:rPr>
        <w:footnoteRef/>
      </w:r>
      <w:r>
        <w:t xml:space="preserve"> </w:t>
      </w:r>
      <w:hyperlink r:id="rId1" w:history="1">
        <w:r>
          <w:rPr>
            <w:rStyle w:val="Hyperlink"/>
          </w:rPr>
          <w:t>https://apps.bea.gov/iTable/iTable.cfm?reqid=70&amp;step=30&amp;isuri=1&amp;year_end=-1&amp;acrdn=8&amp;classification=non-industry&amp;state=5&amp;yearbegin=-1&amp;unit_of_measure=levels&amp;major_area=5&amp;area=xx&amp;year=2017&amp;tableid=82&amp;category=712&amp;area_type=4&amp;statistic=100,110,240</w:t>
        </w:r>
      </w:hyperlink>
    </w:p>
  </w:footnote>
  <w:footnote w:id="2">
    <w:p w:rsidR="00E34B5B" w:rsidRDefault="00E34B5B">
      <w:pPr>
        <w:pStyle w:val="FootnoteText"/>
      </w:pPr>
      <w:r>
        <w:rPr>
          <w:rStyle w:val="FootnoteReference"/>
        </w:rPr>
        <w:footnoteRef/>
      </w:r>
      <w:r>
        <w:t xml:space="preserve"> </w:t>
      </w:r>
      <w:hyperlink r:id="rId2">
        <w:r>
          <w:rPr>
            <w:color w:val="0000FF"/>
            <w:u w:val="single"/>
          </w:rPr>
          <w:t>https://ssti.org/sites/default/files/Educational%20Attainment%20by%20Metro.xlsx</w:t>
        </w:r>
      </w:hyperlink>
    </w:p>
  </w:footnote>
  <w:footnote w:id="3">
    <w:p w:rsidR="00E34B5B" w:rsidRDefault="00E34B5B">
      <w:pPr>
        <w:pStyle w:val="FootnoteText"/>
      </w:pPr>
      <w:r>
        <w:rPr>
          <w:rStyle w:val="FootnoteReference"/>
        </w:rPr>
        <w:footnoteRef/>
      </w:r>
      <w:r>
        <w:t xml:space="preserve"> </w:t>
      </w:r>
      <w:hyperlink r:id="rId3" w:history="1">
        <w:r>
          <w:rPr>
            <w:rStyle w:val="Hyperlink"/>
          </w:rPr>
          <w:t>https://www2.census.gov/geo/docs/maps-data/data/rel/ua_cbsa_rel_10.txt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BD14B1"/>
    <w:multiLevelType w:val="multilevel"/>
    <w:tmpl w:val="159A3C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8E0"/>
    <w:rsid w:val="000137DE"/>
    <w:rsid w:val="00067357"/>
    <w:rsid w:val="00094ED6"/>
    <w:rsid w:val="000C6A9C"/>
    <w:rsid w:val="000F3C38"/>
    <w:rsid w:val="001841A9"/>
    <w:rsid w:val="00187F91"/>
    <w:rsid w:val="00223BC2"/>
    <w:rsid w:val="002F5494"/>
    <w:rsid w:val="003163A1"/>
    <w:rsid w:val="00446A70"/>
    <w:rsid w:val="0047613E"/>
    <w:rsid w:val="004825EB"/>
    <w:rsid w:val="004E28D3"/>
    <w:rsid w:val="0050539F"/>
    <w:rsid w:val="0050741C"/>
    <w:rsid w:val="0059453D"/>
    <w:rsid w:val="005E78E0"/>
    <w:rsid w:val="00656B57"/>
    <w:rsid w:val="006F1502"/>
    <w:rsid w:val="007335F5"/>
    <w:rsid w:val="007B43F6"/>
    <w:rsid w:val="007F094F"/>
    <w:rsid w:val="00832E38"/>
    <w:rsid w:val="008654A0"/>
    <w:rsid w:val="00946E7A"/>
    <w:rsid w:val="00965755"/>
    <w:rsid w:val="009902F8"/>
    <w:rsid w:val="00A309A2"/>
    <w:rsid w:val="00A573F5"/>
    <w:rsid w:val="00A60E10"/>
    <w:rsid w:val="00AB39D0"/>
    <w:rsid w:val="00AC3019"/>
    <w:rsid w:val="00AD1D15"/>
    <w:rsid w:val="00B46CB3"/>
    <w:rsid w:val="00C1557F"/>
    <w:rsid w:val="00C84956"/>
    <w:rsid w:val="00CC0FC4"/>
    <w:rsid w:val="00CC4647"/>
    <w:rsid w:val="00D1273E"/>
    <w:rsid w:val="00D900DF"/>
    <w:rsid w:val="00E34B5B"/>
    <w:rsid w:val="00EC0142"/>
    <w:rsid w:val="00F16C9E"/>
    <w:rsid w:val="00FD1080"/>
    <w:rsid w:val="00FF6A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01488"/>
  <w15:chartTrackingRefBased/>
  <w15:docId w15:val="{5A90156B-2A0A-4108-86CE-0D5F90AC7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1D15"/>
    <w:pPr>
      <w:jc w:val="both"/>
    </w:pPr>
  </w:style>
  <w:style w:type="paragraph" w:styleId="Heading1">
    <w:name w:val="heading 1"/>
    <w:basedOn w:val="Normal"/>
    <w:next w:val="Normal"/>
    <w:link w:val="Heading1Char"/>
    <w:uiPriority w:val="9"/>
    <w:qFormat/>
    <w:rsid w:val="00187F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0741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32E3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7">
    <w:name w:val="heading 7"/>
    <w:basedOn w:val="Normal"/>
    <w:next w:val="Normal"/>
    <w:link w:val="Heading7Char"/>
    <w:uiPriority w:val="9"/>
    <w:unhideWhenUsed/>
    <w:qFormat/>
    <w:rsid w:val="007335F5"/>
    <w:pPr>
      <w:keepNext/>
      <w:keepLines/>
      <w:spacing w:before="40" w:after="0"/>
      <w:jc w:val="left"/>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7F91"/>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187F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7F91"/>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B39D0"/>
    <w:rPr>
      <w:color w:val="0000FF"/>
      <w:u w:val="single"/>
    </w:rPr>
  </w:style>
  <w:style w:type="paragraph" w:styleId="FootnoteText">
    <w:name w:val="footnote text"/>
    <w:basedOn w:val="Normal"/>
    <w:link w:val="FootnoteTextChar"/>
    <w:uiPriority w:val="99"/>
    <w:semiHidden/>
    <w:unhideWhenUsed/>
    <w:rsid w:val="00AB39D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B39D0"/>
    <w:rPr>
      <w:sz w:val="20"/>
      <w:szCs w:val="20"/>
    </w:rPr>
  </w:style>
  <w:style w:type="character" w:styleId="FootnoteReference">
    <w:name w:val="footnote reference"/>
    <w:basedOn w:val="DefaultParagraphFont"/>
    <w:uiPriority w:val="99"/>
    <w:semiHidden/>
    <w:unhideWhenUsed/>
    <w:rsid w:val="00AB39D0"/>
    <w:rPr>
      <w:vertAlign w:val="superscript"/>
    </w:rPr>
  </w:style>
  <w:style w:type="character" w:customStyle="1" w:styleId="Heading7Char">
    <w:name w:val="Heading 7 Char"/>
    <w:basedOn w:val="DefaultParagraphFont"/>
    <w:link w:val="Heading7"/>
    <w:uiPriority w:val="9"/>
    <w:rsid w:val="007335F5"/>
    <w:rPr>
      <w:rFonts w:asciiTheme="majorHAnsi" w:eastAsiaTheme="majorEastAsia" w:hAnsiTheme="majorHAnsi" w:cstheme="majorBidi"/>
      <w:i/>
      <w:iCs/>
      <w:color w:val="1F4D78" w:themeColor="accent1" w:themeShade="7F"/>
    </w:rPr>
  </w:style>
  <w:style w:type="character" w:customStyle="1" w:styleId="Heading2Char">
    <w:name w:val="Heading 2 Char"/>
    <w:basedOn w:val="DefaultParagraphFont"/>
    <w:link w:val="Heading2"/>
    <w:uiPriority w:val="9"/>
    <w:rsid w:val="0050741C"/>
    <w:rPr>
      <w:rFonts w:asciiTheme="majorHAnsi" w:eastAsiaTheme="majorEastAsia" w:hAnsiTheme="majorHAnsi" w:cstheme="majorBidi"/>
      <w:color w:val="2E74B5" w:themeColor="accent1" w:themeShade="BF"/>
      <w:sz w:val="26"/>
      <w:szCs w:val="26"/>
    </w:rPr>
  </w:style>
  <w:style w:type="table" w:styleId="GridTable3-Accent1">
    <w:name w:val="Grid Table 3 Accent 1"/>
    <w:basedOn w:val="TableNormal"/>
    <w:uiPriority w:val="48"/>
    <w:rsid w:val="00A60E1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character" w:customStyle="1" w:styleId="Heading3Char">
    <w:name w:val="Heading 3 Char"/>
    <w:basedOn w:val="DefaultParagraphFont"/>
    <w:link w:val="Heading3"/>
    <w:uiPriority w:val="9"/>
    <w:rsid w:val="00832E38"/>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4761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0539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370201">
      <w:bodyDiv w:val="1"/>
      <w:marLeft w:val="0"/>
      <w:marRight w:val="0"/>
      <w:marTop w:val="0"/>
      <w:marBottom w:val="0"/>
      <w:divBdr>
        <w:top w:val="none" w:sz="0" w:space="0" w:color="auto"/>
        <w:left w:val="none" w:sz="0" w:space="0" w:color="auto"/>
        <w:bottom w:val="none" w:sz="0" w:space="0" w:color="auto"/>
        <w:right w:val="none" w:sz="0" w:space="0" w:color="auto"/>
      </w:divBdr>
    </w:div>
    <w:div w:id="422145234">
      <w:bodyDiv w:val="1"/>
      <w:marLeft w:val="0"/>
      <w:marRight w:val="0"/>
      <w:marTop w:val="0"/>
      <w:marBottom w:val="0"/>
      <w:divBdr>
        <w:top w:val="none" w:sz="0" w:space="0" w:color="auto"/>
        <w:left w:val="none" w:sz="0" w:space="0" w:color="auto"/>
        <w:bottom w:val="none" w:sz="0" w:space="0" w:color="auto"/>
        <w:right w:val="none" w:sz="0" w:space="0" w:color="auto"/>
      </w:divBdr>
    </w:div>
    <w:div w:id="443154641">
      <w:bodyDiv w:val="1"/>
      <w:marLeft w:val="0"/>
      <w:marRight w:val="0"/>
      <w:marTop w:val="0"/>
      <w:marBottom w:val="0"/>
      <w:divBdr>
        <w:top w:val="none" w:sz="0" w:space="0" w:color="auto"/>
        <w:left w:val="none" w:sz="0" w:space="0" w:color="auto"/>
        <w:bottom w:val="none" w:sz="0" w:space="0" w:color="auto"/>
        <w:right w:val="none" w:sz="0" w:space="0" w:color="auto"/>
      </w:divBdr>
    </w:div>
    <w:div w:id="553660531">
      <w:bodyDiv w:val="1"/>
      <w:marLeft w:val="0"/>
      <w:marRight w:val="0"/>
      <w:marTop w:val="0"/>
      <w:marBottom w:val="0"/>
      <w:divBdr>
        <w:top w:val="none" w:sz="0" w:space="0" w:color="auto"/>
        <w:left w:val="none" w:sz="0" w:space="0" w:color="auto"/>
        <w:bottom w:val="none" w:sz="0" w:space="0" w:color="auto"/>
        <w:right w:val="none" w:sz="0" w:space="0" w:color="auto"/>
      </w:divBdr>
      <w:divsChild>
        <w:div w:id="1450003634">
          <w:marLeft w:val="0"/>
          <w:marRight w:val="0"/>
          <w:marTop w:val="0"/>
          <w:marBottom w:val="0"/>
          <w:divBdr>
            <w:top w:val="none" w:sz="0" w:space="0" w:color="auto"/>
            <w:left w:val="none" w:sz="0" w:space="0" w:color="auto"/>
            <w:bottom w:val="none" w:sz="0" w:space="0" w:color="auto"/>
            <w:right w:val="none" w:sz="0" w:space="0" w:color="auto"/>
          </w:divBdr>
          <w:divsChild>
            <w:div w:id="882014462">
              <w:marLeft w:val="0"/>
              <w:marRight w:val="0"/>
              <w:marTop w:val="0"/>
              <w:marBottom w:val="0"/>
              <w:divBdr>
                <w:top w:val="none" w:sz="0" w:space="0" w:color="auto"/>
                <w:left w:val="none" w:sz="0" w:space="0" w:color="auto"/>
                <w:bottom w:val="none" w:sz="0" w:space="0" w:color="auto"/>
                <w:right w:val="none" w:sz="0" w:space="0" w:color="auto"/>
              </w:divBdr>
              <w:divsChild>
                <w:div w:id="602499608">
                  <w:marLeft w:val="0"/>
                  <w:marRight w:val="0"/>
                  <w:marTop w:val="0"/>
                  <w:marBottom w:val="0"/>
                  <w:divBdr>
                    <w:top w:val="none" w:sz="0" w:space="0" w:color="auto"/>
                    <w:left w:val="none" w:sz="0" w:space="0" w:color="auto"/>
                    <w:bottom w:val="none" w:sz="0" w:space="0" w:color="auto"/>
                    <w:right w:val="none" w:sz="0" w:space="0" w:color="auto"/>
                  </w:divBdr>
                  <w:divsChild>
                    <w:div w:id="770904109">
                      <w:marLeft w:val="0"/>
                      <w:marRight w:val="0"/>
                      <w:marTop w:val="0"/>
                      <w:marBottom w:val="0"/>
                      <w:divBdr>
                        <w:top w:val="none" w:sz="0" w:space="0" w:color="auto"/>
                        <w:left w:val="none" w:sz="0" w:space="0" w:color="auto"/>
                        <w:bottom w:val="none" w:sz="0" w:space="0" w:color="auto"/>
                        <w:right w:val="none" w:sz="0" w:space="0" w:color="auto"/>
                      </w:divBdr>
                      <w:divsChild>
                        <w:div w:id="12080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5228666">
      <w:bodyDiv w:val="1"/>
      <w:marLeft w:val="0"/>
      <w:marRight w:val="0"/>
      <w:marTop w:val="0"/>
      <w:marBottom w:val="0"/>
      <w:divBdr>
        <w:top w:val="none" w:sz="0" w:space="0" w:color="auto"/>
        <w:left w:val="none" w:sz="0" w:space="0" w:color="auto"/>
        <w:bottom w:val="none" w:sz="0" w:space="0" w:color="auto"/>
        <w:right w:val="none" w:sz="0" w:space="0" w:color="auto"/>
      </w:divBdr>
      <w:divsChild>
        <w:div w:id="148788331">
          <w:marLeft w:val="0"/>
          <w:marRight w:val="0"/>
          <w:marTop w:val="0"/>
          <w:marBottom w:val="0"/>
          <w:divBdr>
            <w:top w:val="none" w:sz="0" w:space="0" w:color="auto"/>
            <w:left w:val="none" w:sz="0" w:space="0" w:color="auto"/>
            <w:bottom w:val="none" w:sz="0" w:space="0" w:color="auto"/>
            <w:right w:val="none" w:sz="0" w:space="0" w:color="auto"/>
          </w:divBdr>
          <w:divsChild>
            <w:div w:id="984892351">
              <w:marLeft w:val="0"/>
              <w:marRight w:val="0"/>
              <w:marTop w:val="0"/>
              <w:marBottom w:val="0"/>
              <w:divBdr>
                <w:top w:val="none" w:sz="0" w:space="0" w:color="auto"/>
                <w:left w:val="none" w:sz="0" w:space="0" w:color="auto"/>
                <w:bottom w:val="none" w:sz="0" w:space="0" w:color="auto"/>
                <w:right w:val="none" w:sz="0" w:space="0" w:color="auto"/>
              </w:divBdr>
              <w:divsChild>
                <w:div w:id="1659111860">
                  <w:marLeft w:val="0"/>
                  <w:marRight w:val="0"/>
                  <w:marTop w:val="0"/>
                  <w:marBottom w:val="0"/>
                  <w:divBdr>
                    <w:top w:val="none" w:sz="0" w:space="0" w:color="auto"/>
                    <w:left w:val="none" w:sz="0" w:space="0" w:color="auto"/>
                    <w:bottom w:val="none" w:sz="0" w:space="0" w:color="auto"/>
                    <w:right w:val="none" w:sz="0" w:space="0" w:color="auto"/>
                  </w:divBdr>
                  <w:divsChild>
                    <w:div w:id="529419946">
                      <w:marLeft w:val="0"/>
                      <w:marRight w:val="0"/>
                      <w:marTop w:val="0"/>
                      <w:marBottom w:val="0"/>
                      <w:divBdr>
                        <w:top w:val="none" w:sz="0" w:space="0" w:color="auto"/>
                        <w:left w:val="none" w:sz="0" w:space="0" w:color="auto"/>
                        <w:bottom w:val="none" w:sz="0" w:space="0" w:color="auto"/>
                        <w:right w:val="none" w:sz="0" w:space="0" w:color="auto"/>
                      </w:divBdr>
                      <w:divsChild>
                        <w:div w:id="174614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2398831">
      <w:bodyDiv w:val="1"/>
      <w:marLeft w:val="0"/>
      <w:marRight w:val="0"/>
      <w:marTop w:val="0"/>
      <w:marBottom w:val="0"/>
      <w:divBdr>
        <w:top w:val="none" w:sz="0" w:space="0" w:color="auto"/>
        <w:left w:val="none" w:sz="0" w:space="0" w:color="auto"/>
        <w:bottom w:val="none" w:sz="0" w:space="0" w:color="auto"/>
        <w:right w:val="none" w:sz="0" w:space="0" w:color="auto"/>
      </w:divBdr>
    </w:div>
    <w:div w:id="1006009791">
      <w:bodyDiv w:val="1"/>
      <w:marLeft w:val="0"/>
      <w:marRight w:val="0"/>
      <w:marTop w:val="0"/>
      <w:marBottom w:val="0"/>
      <w:divBdr>
        <w:top w:val="none" w:sz="0" w:space="0" w:color="auto"/>
        <w:left w:val="none" w:sz="0" w:space="0" w:color="auto"/>
        <w:bottom w:val="none" w:sz="0" w:space="0" w:color="auto"/>
        <w:right w:val="none" w:sz="0" w:space="0" w:color="auto"/>
      </w:divBdr>
    </w:div>
    <w:div w:id="1102340540">
      <w:bodyDiv w:val="1"/>
      <w:marLeft w:val="0"/>
      <w:marRight w:val="0"/>
      <w:marTop w:val="0"/>
      <w:marBottom w:val="0"/>
      <w:divBdr>
        <w:top w:val="none" w:sz="0" w:space="0" w:color="auto"/>
        <w:left w:val="none" w:sz="0" w:space="0" w:color="auto"/>
        <w:bottom w:val="none" w:sz="0" w:space="0" w:color="auto"/>
        <w:right w:val="none" w:sz="0" w:space="0" w:color="auto"/>
      </w:divBdr>
    </w:div>
    <w:div w:id="1198161913">
      <w:bodyDiv w:val="1"/>
      <w:marLeft w:val="0"/>
      <w:marRight w:val="0"/>
      <w:marTop w:val="0"/>
      <w:marBottom w:val="0"/>
      <w:divBdr>
        <w:top w:val="none" w:sz="0" w:space="0" w:color="auto"/>
        <w:left w:val="none" w:sz="0" w:space="0" w:color="auto"/>
        <w:bottom w:val="none" w:sz="0" w:space="0" w:color="auto"/>
        <w:right w:val="none" w:sz="0" w:space="0" w:color="auto"/>
      </w:divBdr>
    </w:div>
    <w:div w:id="1253780670">
      <w:bodyDiv w:val="1"/>
      <w:marLeft w:val="0"/>
      <w:marRight w:val="0"/>
      <w:marTop w:val="0"/>
      <w:marBottom w:val="0"/>
      <w:divBdr>
        <w:top w:val="none" w:sz="0" w:space="0" w:color="auto"/>
        <w:left w:val="none" w:sz="0" w:space="0" w:color="auto"/>
        <w:bottom w:val="none" w:sz="0" w:space="0" w:color="auto"/>
        <w:right w:val="none" w:sz="0" w:space="0" w:color="auto"/>
      </w:divBdr>
    </w:div>
    <w:div w:id="1428622080">
      <w:bodyDiv w:val="1"/>
      <w:marLeft w:val="0"/>
      <w:marRight w:val="0"/>
      <w:marTop w:val="0"/>
      <w:marBottom w:val="0"/>
      <w:divBdr>
        <w:top w:val="none" w:sz="0" w:space="0" w:color="auto"/>
        <w:left w:val="none" w:sz="0" w:space="0" w:color="auto"/>
        <w:bottom w:val="none" w:sz="0" w:space="0" w:color="auto"/>
        <w:right w:val="none" w:sz="0" w:space="0" w:color="auto"/>
      </w:divBdr>
      <w:divsChild>
        <w:div w:id="1114713301">
          <w:marLeft w:val="0"/>
          <w:marRight w:val="0"/>
          <w:marTop w:val="0"/>
          <w:marBottom w:val="0"/>
          <w:divBdr>
            <w:top w:val="none" w:sz="0" w:space="0" w:color="auto"/>
            <w:left w:val="none" w:sz="0" w:space="0" w:color="auto"/>
            <w:bottom w:val="none" w:sz="0" w:space="0" w:color="auto"/>
            <w:right w:val="none" w:sz="0" w:space="0" w:color="auto"/>
          </w:divBdr>
          <w:divsChild>
            <w:div w:id="1383989490">
              <w:marLeft w:val="0"/>
              <w:marRight w:val="0"/>
              <w:marTop w:val="0"/>
              <w:marBottom w:val="0"/>
              <w:divBdr>
                <w:top w:val="none" w:sz="0" w:space="0" w:color="auto"/>
                <w:left w:val="none" w:sz="0" w:space="0" w:color="auto"/>
                <w:bottom w:val="none" w:sz="0" w:space="0" w:color="auto"/>
                <w:right w:val="none" w:sz="0" w:space="0" w:color="auto"/>
              </w:divBdr>
              <w:divsChild>
                <w:div w:id="452405400">
                  <w:marLeft w:val="0"/>
                  <w:marRight w:val="0"/>
                  <w:marTop w:val="0"/>
                  <w:marBottom w:val="0"/>
                  <w:divBdr>
                    <w:top w:val="none" w:sz="0" w:space="0" w:color="auto"/>
                    <w:left w:val="none" w:sz="0" w:space="0" w:color="auto"/>
                    <w:bottom w:val="none" w:sz="0" w:space="0" w:color="auto"/>
                    <w:right w:val="none" w:sz="0" w:space="0" w:color="auto"/>
                  </w:divBdr>
                  <w:divsChild>
                    <w:div w:id="1722052546">
                      <w:marLeft w:val="0"/>
                      <w:marRight w:val="0"/>
                      <w:marTop w:val="0"/>
                      <w:marBottom w:val="0"/>
                      <w:divBdr>
                        <w:top w:val="none" w:sz="0" w:space="0" w:color="auto"/>
                        <w:left w:val="none" w:sz="0" w:space="0" w:color="auto"/>
                        <w:bottom w:val="none" w:sz="0" w:space="0" w:color="auto"/>
                        <w:right w:val="none" w:sz="0" w:space="0" w:color="auto"/>
                      </w:divBdr>
                      <w:divsChild>
                        <w:div w:id="56749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694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VCgkTeuJkR8" TargetMode="External"/><Relationship Id="rId13" Type="http://schemas.openxmlformats.org/officeDocument/2006/relationships/image" Target="media/image4.tmp"/><Relationship Id="rId18" Type="http://schemas.openxmlformats.org/officeDocument/2006/relationships/image" Target="media/image9.tmp"/><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tmp"/><Relationship Id="rId7" Type="http://schemas.openxmlformats.org/officeDocument/2006/relationships/hyperlink" Target="https://youtu.be/yyVgO_j8vxw?t=143" TargetMode="External"/><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tmp"/><Relationship Id="rId20" Type="http://schemas.openxmlformats.org/officeDocument/2006/relationships/image" Target="media/image11.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tmp"/><Relationship Id="rId24" Type="http://schemas.openxmlformats.org/officeDocument/2006/relationships/image" Target="media/image15.tmp"/><Relationship Id="rId5" Type="http://schemas.openxmlformats.org/officeDocument/2006/relationships/footnotes" Target="footnotes.xml"/><Relationship Id="rId15" Type="http://schemas.openxmlformats.org/officeDocument/2006/relationships/image" Target="media/image6.tmp"/><Relationship Id="rId23" Type="http://schemas.openxmlformats.org/officeDocument/2006/relationships/image" Target="media/image14.tmp"/><Relationship Id="rId10" Type="http://schemas.openxmlformats.org/officeDocument/2006/relationships/image" Target="media/image1.tmp"/><Relationship Id="rId19" Type="http://schemas.openxmlformats.org/officeDocument/2006/relationships/image" Target="media/image10.tmp"/><Relationship Id="rId4" Type="http://schemas.openxmlformats.org/officeDocument/2006/relationships/webSettings" Target="webSettings.xml"/><Relationship Id="rId9" Type="http://schemas.openxmlformats.org/officeDocument/2006/relationships/hyperlink" Target="https://www.budweiser.com/en/home.html" TargetMode="External"/><Relationship Id="rId14" Type="http://schemas.openxmlformats.org/officeDocument/2006/relationships/image" Target="media/image5.tmp"/><Relationship Id="rId22" Type="http://schemas.openxmlformats.org/officeDocument/2006/relationships/image" Target="media/image13.tmp"/></Relationships>
</file>

<file path=word/_rels/footnotes.xml.rels><?xml version="1.0" encoding="UTF-8" standalone="yes"?>
<Relationships xmlns="http://schemas.openxmlformats.org/package/2006/relationships"><Relationship Id="rId3" Type="http://schemas.openxmlformats.org/officeDocument/2006/relationships/hyperlink" Target="https://www2.census.gov/geo/docs/maps-data/data/rel/ua_cbsa_rel_10.txt" TargetMode="External"/><Relationship Id="rId2" Type="http://schemas.openxmlformats.org/officeDocument/2006/relationships/hyperlink" Target="https://ssti.org/sites/default/files/Educational%20Attainment%20by%20Metro.xlsx" TargetMode="External"/><Relationship Id="rId1" Type="http://schemas.openxmlformats.org/officeDocument/2006/relationships/hyperlink" Target="https://apps.bea.gov/iTable/iTable.cfm?reqid=70&amp;step=30&amp;isuri=1&amp;year_end=-1&amp;acrdn=8&amp;classification=non-industry&amp;state=5&amp;yearbegin=-1&amp;unit_of_measure=levels&amp;major_area=5&amp;area=xx&amp;year=2017&amp;tableid=82&amp;category=712&amp;area_type=4&amp;statistic=100,110,2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234</TotalTime>
  <Pages>12</Pages>
  <Words>2377</Words>
  <Characters>13549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Martinez</dc:creator>
  <cp:keywords/>
  <dc:description/>
  <cp:lastModifiedBy>Gabriel Martinez</cp:lastModifiedBy>
  <cp:revision>32</cp:revision>
  <dcterms:created xsi:type="dcterms:W3CDTF">2019-06-24T19:23:00Z</dcterms:created>
  <dcterms:modified xsi:type="dcterms:W3CDTF">2019-06-25T18:36:00Z</dcterms:modified>
</cp:coreProperties>
</file>