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Datos de clientes / Proveedores e incluso empleados / entrega de mercancía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53340</wp:posOffset>
            </wp:positionV>
            <wp:extent cx="6332220" cy="310959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09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Datos de clientes / Proveedores e incluso empleados / entrega de mercancía, solo el punto 1 es de Cliente, pero los puntos 2 al 7 deben ser tanto para clientes como para Proveedores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quita (SEPOMEX) (solo en Clientes)</w:t>
      </w:r>
    </w:p>
    <w:p>
      <w:pPr>
        <w:pStyle w:val="Normal"/>
        <w:bidi w:val="0"/>
        <w:jc w:val="left"/>
        <w:rPr/>
      </w:pPr>
      <w:r>
        <w:rPr/>
        <w:t>2. en el primer renglón deja solo el Código Postal y la Colonia /Asentamiento</w:t>
      </w:r>
    </w:p>
    <w:p>
      <w:pPr>
        <w:pStyle w:val="Normal"/>
        <w:bidi w:val="0"/>
        <w:jc w:val="left"/>
        <w:rPr/>
      </w:pPr>
      <w:r>
        <w:rPr/>
        <w:t>3. bajo el primer renglón la leyenda: “3 colonia(s) . Ecatepec de Morelos, México debe aparecer abajo de Colonia / Asentamiento”</w:t>
      </w:r>
    </w:p>
    <w:p>
      <w:pPr>
        <w:pStyle w:val="Normal"/>
        <w:bidi w:val="0"/>
        <w:jc w:val="left"/>
        <w:rPr/>
      </w:pPr>
      <w:r>
        <w:rPr/>
        <w:t xml:space="preserve">4. en el segundo renglón deja solo la Calle </w:t>
      </w:r>
    </w:p>
    <w:p>
      <w:pPr>
        <w:pStyle w:val="Normal"/>
        <w:bidi w:val="0"/>
        <w:jc w:val="left"/>
        <w:rPr/>
      </w:pPr>
      <w:r>
        <w:rPr/>
        <w:t>5. en el tercer renglón deja los Número exterior y Número Interior</w:t>
      </w:r>
    </w:p>
    <w:p>
      <w:pPr>
        <w:pStyle w:val="Normal"/>
        <w:bidi w:val="0"/>
        <w:jc w:val="left"/>
        <w:rPr/>
      </w:pPr>
      <w:r>
        <w:rPr/>
        <w:t>6. en el cuarto renglón deja el Municipio /Alcaldía y la Ciudad</w:t>
      </w:r>
    </w:p>
    <w:p>
      <w:pPr>
        <w:pStyle w:val="Normal"/>
        <w:bidi w:val="0"/>
        <w:jc w:val="left"/>
        <w:rPr/>
      </w:pPr>
      <w:r>
        <w:rPr/>
        <w:t xml:space="preserve">7. en el quinto renglón deja el Estado, solo para el administrador debe mostrarse: “Fuente: catalogo nacional SEPOMEX. Actualizar catálogo”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adicionalmente si entró a Dashboard de gestión vuelve a aparecer el error: "Ocurrió un error inesperado. Los menús siguen funcionando; si algo no responde, recargue la página." y al entrar a Facturación o Notas de crédito aparece en un recuadro con fondo rojo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before="0" w:after="283"/>
        <w:jc w:val="left"/>
        <w:rPr/>
      </w:pPr>
      <w:r>
        <w:rPr/>
      </w:r>
    </w:p>
    <w:p>
      <w:pPr>
        <w:pStyle w:val="BodyText"/>
        <w:rPr/>
      </w:pPr>
      <w:r>
        <w:rPr/>
        <w:t>Resumen de lo aplicado:</w:t>
      </w:r>
    </w:p>
    <w:p>
      <w:pPr>
        <w:pStyle w:val="Heading2"/>
        <w:ind w:hanging="0" w:left="0"/>
        <w:rPr/>
      </w:pPr>
      <w:r>
        <w:rPr/>
        <w:t xml:space="preserve">1. Nueva distribución de la dirección (5 renglones) — </w:t>
      </w:r>
      <w:r>
        <w:rPr>
          <w:rFonts w:ascii="Liberation Mono" w:hAnsi="Liberation Mono"/>
        </w:rPr>
        <w:t>DireccionSepomex.razor</w:t>
      </w:r>
    </w:p>
    <w:p>
      <w:pPr>
        <w:pStyle w:val="BodyText"/>
        <w:rPr/>
      </w:pPr>
      <w:r>
        <w:rPr/>
        <w:t>Aplicado a Clientes, Proveedores y Datos de la sucursal (componente compartido):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Renglón 1:</w:t>
      </w:r>
      <w:r>
        <w:rPr/>
        <w:t xml:space="preserve"> solo </w:t>
      </w:r>
      <w:r>
        <w:rPr>
          <w:b/>
        </w:rPr>
        <w:t>Código Postal</w:t>
      </w:r>
      <w:r>
        <w:rPr/>
        <w:t xml:space="preserve"> y </w:t>
      </w:r>
      <w:r>
        <w:rPr>
          <w:b/>
        </w:rPr>
        <w:t>Colonia / Asentamiento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Leyenda</w:t>
      </w:r>
      <w:r>
        <w:rPr/>
        <w:t xml:space="preserve"> justo debajo del combo de Colonia: </w:t>
      </w:r>
      <w:r>
        <w:rPr>
          <w:rFonts w:ascii="Liberation Mono" w:hAnsi="Liberation Mono"/>
        </w:rPr>
        <w:t>“N colonia(s) · Municipio, Estado”</w:t>
      </w:r>
      <w:r>
        <w:rPr/>
        <w:t xml:space="preserve"> (p. ej. </w:t>
      </w:r>
      <w:r>
        <w:rPr>
          <w:i/>
        </w:rPr>
        <w:t>3 colonia(s) · Ecatepec de Morelos, México</w:t>
      </w:r>
      <w:r>
        <w:rPr/>
        <w:t>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Renglón 2:</w:t>
      </w:r>
      <w:r>
        <w:rPr/>
        <w:t xml:space="preserve"> solo </w:t>
      </w:r>
      <w:r>
        <w:rPr>
          <w:b/>
        </w:rPr>
        <w:t>Calle</w:t>
      </w:r>
      <w:r>
        <w:rPr/>
        <w:t xml:space="preserve"> (ancho completo).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Renglón 3:</w:t>
      </w:r>
      <w:r>
        <w:rPr/>
        <w:t xml:space="preserve"> </w:t>
      </w:r>
      <w:r>
        <w:rPr>
          <w:b/>
        </w:rPr>
        <w:t>Número exterior</w:t>
      </w:r>
      <w:r>
        <w:rPr/>
        <w:t xml:space="preserve"> y </w:t>
      </w:r>
      <w:r>
        <w:rPr>
          <w:b/>
        </w:rPr>
        <w:t>Número interior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Renglón 4:</w:t>
      </w:r>
      <w:r>
        <w:rPr/>
        <w:t xml:space="preserve"> </w:t>
      </w:r>
      <w:r>
        <w:rPr>
          <w:b/>
        </w:rPr>
        <w:t>Municipio / Alcaldía</w:t>
      </w:r>
      <w:r>
        <w:rPr/>
        <w:t xml:space="preserve"> y </w:t>
      </w:r>
      <w:r>
        <w:rPr>
          <w:b/>
        </w:rPr>
        <w:t>Ciudad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Renglón 5:</w:t>
      </w:r>
      <w:r>
        <w:rPr/>
        <w:t xml:space="preserve"> </w:t>
      </w:r>
      <w:r>
        <w:rPr>
          <w:b/>
        </w:rPr>
        <w:t>Estado</w:t>
      </w:r>
      <w:r>
        <w:rPr/>
        <w:t xml:space="preserve">; la leyenda </w:t>
      </w:r>
      <w:r>
        <w:rPr>
          <w:i/>
        </w:rPr>
        <w:t>“Fuente: catálogo nacional SEPOMEX. Actualizar catálogo”</w:t>
      </w:r>
      <w:r>
        <w:rPr/>
        <w:t xml:space="preserve"> solo se muestra si el rol es </w:t>
      </w:r>
      <w:r>
        <w:rPr>
          <w:b/>
        </w:rPr>
        <w:t>Admin</w:t>
      </w:r>
      <w:r>
        <w:rPr/>
        <w:t>.</w:t>
      </w:r>
    </w:p>
    <w:p>
      <w:pPr>
        <w:pStyle w:val="BodyText"/>
        <w:rPr/>
      </w:pPr>
      <w:r>
        <w:rPr/>
        <w:t xml:space="preserve">Además (solo Clientes): encabezado de la sección cambiado de </w:t>
      </w:r>
      <w:r>
        <w:rPr>
          <w:rFonts w:ascii="Liberation Mono" w:hAnsi="Liberation Mono"/>
        </w:rPr>
        <w:t>Dirección (SEPOMEX)</w:t>
      </w:r>
      <w:r>
        <w:rPr/>
        <w:t xml:space="preserve"> a </w:t>
      </w:r>
      <w:r>
        <w:rPr>
          <w:rFonts w:ascii="Liberation Mono" w:hAnsi="Liberation Mono"/>
        </w:rPr>
        <w:t>Dirección</w:t>
      </w:r>
      <w:r>
        <w:rPr/>
        <w:t>, y se quitaron las referencias “SEPOMEX” de los textos de estado bajo el CP.</w:t>
      </w:r>
    </w:p>
    <w:p>
      <w:pPr>
        <w:pStyle w:val="Heading2"/>
        <w:ind w:hanging="0" w:left="0"/>
        <w:rPr/>
      </w:pPr>
      <w:r>
        <w:rPr/>
        <w:t>2. Error de DbContext (Dashboard, Facturación, Notas de crédito)</w:t>
      </w:r>
    </w:p>
    <w:p>
      <w:pPr>
        <w:pStyle w:val="BodyText"/>
        <w:rPr/>
      </w:pPr>
      <w:r>
        <w:rPr/>
        <w:t xml:space="preserve">Causa raíz identificada en la consola: </w:t>
      </w:r>
      <w:r>
        <w:rPr>
          <w:b/>
        </w:rPr>
        <w:t>"A second operation was started on this context instance"</w:t>
      </w:r>
      <w:r>
        <w:rPr/>
        <w:t>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  <w:b/>
        </w:rPr>
        <w:t>GestionService.DashboardAsync</w:t>
      </w:r>
      <w:r>
        <w:rPr/>
        <w:t xml:space="preserve">: había un </w:t>
      </w:r>
      <w:r>
        <w:rPr>
          <w:rFonts w:ascii="Liberation Mono" w:hAnsi="Liberation Mono"/>
        </w:rPr>
        <w:t>db.Productos.FindAsync(...).Result</w:t>
      </w:r>
      <w:r>
        <w:rPr/>
        <w:t xml:space="preserve"> dentro de una expresión LINQ (bloqueo síncrono sobre un contexto ya en uso). Reemplazado por una </w:t>
      </w:r>
      <w:r>
        <w:rPr>
          <w:b/>
        </w:rPr>
        <w:t>una sola consulta</w:t>
      </w:r>
      <w:r>
        <w:rPr/>
        <w:t xml:space="preserve"> con proyección </w:t>
      </w:r>
      <w:r>
        <w:rPr>
          <w:rFonts w:ascii="Liberation Mono" w:hAnsi="Liberation Mono"/>
        </w:rPr>
        <w:t>Detalles</w:t>
      </w:r>
      <w:r>
        <w:rPr/>
        <w:t xml:space="preserve"> → </w:t>
      </w:r>
      <w:r>
        <w:rPr>
          <w:rFonts w:ascii="Liberation Mono" w:hAnsi="Liberation Mono"/>
        </w:rPr>
        <w:t>Producto.PrecioCosto</w:t>
      </w:r>
      <w:r>
        <w:rPr/>
        <w:t xml:space="preserve"> (sin N+1, sin </w:t>
      </w:r>
      <w:r>
        <w:rPr>
          <w:rFonts w:ascii="Liberation Mono" w:hAnsi="Liberation Mono"/>
        </w:rPr>
        <w:t>.Result</w:t>
      </w:r>
      <w:r>
        <w:rPr/>
        <w:t>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  <w:b/>
        </w:rPr>
        <w:t>GestionService</w:t>
      </w:r>
      <w:r>
        <w:rPr/>
        <w:t xml:space="preserve">: </w:t>
      </w:r>
      <w:r>
        <w:rPr>
          <w:rFonts w:ascii="Liberation Mono" w:hAnsi="Liberation Mono"/>
        </w:rPr>
        <w:t>RotacionAbcAsync</w:t>
      </w:r>
      <w:r>
        <w:rPr/>
        <w:t xml:space="preserve">, </w:t>
      </w:r>
      <w:r>
        <w:rPr>
          <w:rFonts w:ascii="Liberation Mono" w:hAnsi="Liberation Mono"/>
        </w:rPr>
        <w:t>InventarioPorViscosidadAsync</w:t>
      </w:r>
      <w:r>
        <w:rPr/>
        <w:t xml:space="preserve">, </w:t>
      </w:r>
      <w:r>
        <w:rPr>
          <w:rFonts w:ascii="Liberation Mono" w:hAnsi="Liberation Mono"/>
        </w:rPr>
        <w:t>VentasPorProductoAsync</w:t>
      </w:r>
      <w:r>
        <w:rPr/>
        <w:t xml:space="preserve">, </w:t>
      </w:r>
      <w:r>
        <w:rPr>
          <w:rFonts w:ascii="Liberation Mono" w:hAnsi="Liberation Mono"/>
        </w:rPr>
        <w:t>VentasPorMarcaAsync</w:t>
      </w:r>
      <w:r>
        <w:rPr/>
        <w:t xml:space="preserve">, </w:t>
      </w:r>
      <w:r>
        <w:rPr>
          <w:rFonts w:ascii="Liberation Mono" w:hAnsi="Liberation Mono"/>
        </w:rPr>
        <w:t>VentasPorDiaAsync</w:t>
      </w:r>
      <w:r>
        <w:rPr/>
        <w:t xml:space="preserve"> y </w:t>
      </w:r>
      <w:r>
        <w:rPr>
          <w:rFonts w:ascii="Liberation Mono" w:hAnsi="Liberation Mono"/>
        </w:rPr>
        <w:t>VentasPorVendedorAsync</w:t>
      </w:r>
      <w:r>
        <w:rPr/>
        <w:t xml:space="preserve"> devolvían </w:t>
      </w:r>
      <w:r>
        <w:rPr>
          <w:rFonts w:ascii="Liberation Mono" w:hAnsi="Liberation Mono"/>
        </w:rPr>
        <w:t>Task.FromResult(...ToList())</w:t>
      </w:r>
      <w:r>
        <w:rPr/>
        <w:t xml:space="preserve"> — ejecutaban EF síncronamente dentro de un método async. Convertidos a </w:t>
      </w:r>
      <w:r>
        <w:rPr>
          <w:rFonts w:ascii="Liberation Mono" w:hAnsi="Liberation Mono"/>
        </w:rPr>
        <w:t>await ...ToListAsync(ct)</w:t>
      </w:r>
      <w:r>
        <w:rPr/>
        <w:t xml:space="preserve"> real.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Doble carga en las 3 páginas</w:t>
      </w:r>
      <w:r>
        <w:rPr/>
        <w:t xml:space="preserve">: </w:t>
      </w:r>
      <w:r>
        <w:rPr>
          <w:rFonts w:ascii="Liberation Mono" w:hAnsi="Liberation Mono"/>
        </w:rPr>
        <w:t>OnInitializedAsync</w:t>
      </w:r>
      <w:r>
        <w:rPr/>
        <w:t>/</w:t>
      </w:r>
      <w:r>
        <w:rPr>
          <w:rFonts w:ascii="Liberation Mono" w:hAnsi="Liberation Mono"/>
        </w:rPr>
        <w:t>OnParametersSetAsync</w:t>
      </w:r>
      <w:r>
        <w:rPr/>
        <w:t xml:space="preserve"> </w:t>
      </w:r>
      <w:r>
        <w:rPr>
          <w:i/>
        </w:rPr>
        <w:t>y</w:t>
      </w:r>
      <w:r>
        <w:rPr/>
        <w:t xml:space="preserve"> </w:t>
      </w:r>
      <w:r>
        <w:rPr>
          <w:rFonts w:ascii="Liberation Mono" w:hAnsi="Liberation Mono"/>
        </w:rPr>
        <w:t>OnAfterRenderAsync</w:t>
      </w:r>
      <w:r>
        <w:rPr/>
        <w:t xml:space="preserve"> llamaban a </w:t>
      </w:r>
      <w:r>
        <w:rPr>
          <w:rFonts w:ascii="Liberation Mono" w:hAnsi="Liberation Mono"/>
        </w:rPr>
        <w:t>Cargar()</w:t>
      </w:r>
      <w:r>
        <w:rPr/>
        <w:t xml:space="preserve">, solapando dos cargas sobre el mismo </w:t>
      </w:r>
      <w:r>
        <w:rPr>
          <w:rFonts w:ascii="Liberation Mono" w:hAnsi="Liberation Mono"/>
        </w:rPr>
        <w:t>DbContext</w:t>
      </w:r>
      <w:r>
        <w:rPr/>
        <w:t xml:space="preserve">. Ahora la carga inicial ocurre </w:t>
      </w:r>
      <w:r>
        <w:rPr>
          <w:b/>
        </w:rPr>
        <w:t>solo</w:t>
      </w:r>
      <w:r>
        <w:rPr/>
        <w:t xml:space="preserve"> en </w:t>
      </w:r>
      <w:r>
        <w:rPr>
          <w:rFonts w:ascii="Liberation Mono" w:hAnsi="Liberation Mono"/>
        </w:rPr>
        <w:t>OnAfterRenderAsync</w:t>
      </w:r>
      <w:r>
        <w:rPr/>
        <w:t xml:space="preserve"> (tras restaurar sesión) con guardia </w:t>
      </w:r>
      <w:r>
        <w:rPr>
          <w:rFonts w:ascii="Liberation Mono" w:hAnsi="Liberation Mono"/>
        </w:rPr>
        <w:t>_primeraCarga</w:t>
      </w:r>
      <w:r>
        <w:rPr/>
        <w:t xml:space="preserve"> / </w:t>
      </w:r>
      <w:r>
        <w:rPr>
          <w:rFonts w:ascii="Liberation Mono" w:hAnsi="Liberation Mono"/>
        </w:rPr>
        <w:t>if (_cargando) return;</w:t>
      </w:r>
      <w:r>
        <w:rPr/>
        <w:t xml:space="preserve"> anti-reentrada.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El Dashboard ahora muestra el error en un </w:t>
      </w:r>
      <w:r>
        <w:rPr>
          <w:rFonts w:ascii="Liberation Mono" w:hAnsi="Liberation Mono"/>
        </w:rPr>
        <w:t>alert-danger</w:t>
      </w:r>
      <w:r>
        <w:rPr/>
        <w:t xml:space="preserve"> propio en vez de dejar el banner global de </w:t>
      </w:r>
      <w:r>
        <w:rPr>
          <w:rFonts w:ascii="Liberation Mono" w:hAnsi="Liberation Mono"/>
        </w:rPr>
        <w:t>blazor-error-ui</w:t>
      </w:r>
      <w:r>
        <w:rPr/>
        <w:t>.</w:t>
      </w:r>
    </w:p>
    <w:p>
      <w:pPr>
        <w:pStyle w:val="BodyText"/>
        <w:rPr/>
      </w:pPr>
      <w:r>
        <w:rPr>
          <w:b/>
        </w:rPr>
        <w:t>Nota:</w:t>
      </w:r>
      <w:r>
        <w:rPr/>
        <w:t xml:space="preserve"> detuve el proceso </w:t>
      </w:r>
      <w:r>
        <w:rPr>
          <w:rFonts w:ascii="Liberation Mono" w:hAnsi="Liberation Mono"/>
        </w:rPr>
        <w:t>OilsMexico.Web (PID 15040)</w:t>
      </w:r>
      <w:r>
        <w:rPr/>
        <w:t xml:space="preserve"> que estaba corriendo para poder compilar. Reinicia la app (</w:t>
      </w:r>
      <w:r>
        <w:rPr>
          <w:rFonts w:ascii="Liberation Mono" w:hAnsi="Liberation Mono"/>
        </w:rPr>
        <w:t>dotnet run</w:t>
      </w:r>
      <w:r>
        <w:rPr/>
        <w:t xml:space="preserve"> o F5 en VS Code) para probar — recuerda recargar la página en el navegador para descartar el circuito Blazor viejo con el banner de error.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Times New Roman">
    <w:charset w:val="01"/>
    <w:family w:val="roman"/>
    <w:pitch w:val="default"/>
  </w:font>
  <w:font w:name="Liberation Mono">
    <w:altName w:val="Courier New"/>
    <w:charset w:val="00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18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NSimSun" w:cs="Lucida Sans"/>
      <w:color w:val="auto"/>
      <w:kern w:val="2"/>
      <w:sz w:val="18"/>
      <w:szCs w:val="24"/>
      <w:lang w:val="es-MX" w:eastAsia="zh-CN" w:bidi="hi-IN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Lucida Sans"/>
      <w:sz w:val="24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ascii="Arial" w:hAnsi="Arial" w:cs="Lucida Sans"/>
      <w:sz w:val="24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LibreOffice/26.2.4.2$Windows_X86_64 LibreOffice_project/0229ac93fcf0d7cbc6376066c6f35021cef002dc</Application>
  <AppVersion>15.0000</AppVersion>
  <Pages>2</Pages>
  <Words>491</Words>
  <Characters>2798</Characters>
  <CharactersWithSpaces>3257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2026-10-08T16:49:09Z</dcterms:created>
  <dc:creator/>
  <dc:description/>
  <dc:language>es-MX</dc:language>
  <cp:lastModifiedBy/>
  <dcterms:modified xsi:type="dcterms:W3CDTF">2026-10-09T08:59:07Z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