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>lee el archivo: "Checklist completitud ERP.md" y dime la prioridad de lo que falta por implementar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Ya leí el archivo completo. Aquí está el </w:t>
      </w:r>
      <w:r>
        <w:rPr>
          <w:b/>
        </w:rPr>
        <w:t>estado de lo pendiente, ordenado por prioridad</w:t>
      </w:r>
      <w:r>
        <w:rPr/>
        <w:t xml:space="preserve"> según la propia leyenda del checklist (🔴 alta · 🟡 media · 🟢 baja · 🔵 verificación):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🔴 </w:t>
      </w:r>
      <w:r>
        <w:rPr/>
        <w:t>PRIORIDAD ALTA — §1 Funcionalidades nuevas (restos de secciones casi terminadas)</w:t>
      </w:r>
    </w:p>
    <w:p>
      <w:pPr>
        <w:pStyle w:val="BodyText"/>
        <w:bidi w:val="0"/>
        <w:jc w:val="left"/>
        <w:rPr/>
      </w:pPr>
      <w:r>
        <w:rPr/>
        <w:t>Lo grueso de §1 ya está implementado (1.1 Gastos ✅, 1.2 CxC/CxP ✅, 1.3 FIFO+cierre ✅, 1.4 Reportes ✅), pero quedan 7 pendientes: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Bloqueo por morosidad en POS/Facturación</w:t>
      </w:r>
      <w:r>
        <w:rPr/>
        <w:t xml:space="preserve"> cuando el saldo vencido supere el límite (§1.2) — </w:t>
      </w:r>
      <w:r>
        <w:rPr>
          <w:i/>
        </w:rPr>
        <w:t>depende de §4.1 (límites de crédito)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Verificación con BD de CxC/CxP</w:t>
      </w:r>
      <w:r>
        <w:rPr/>
        <w:t>: backfill de esquema, vencimientos, pagos parciales y tasas en PostgreSQL.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Decisión de diseño en §1.3</w:t>
      </w:r>
      <w:r>
        <w:rPr/>
        <w:t xml:space="preserve">: POS y Notas de Crédito </w:t>
      </w:r>
      <w:r>
        <w:rPr>
          <w:b/>
        </w:rPr>
        <w:t>no validan periodo cerrado</w:t>
      </w:r>
      <w:r>
        <w:rPr/>
        <w:t xml:space="preserve"> (solo se bloquean asientos) — decidir si se bloquean ventas en meses cerrados o se recomputa al reabrir.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Smoke manual del cierre contable con PostgreSQL productiva</w:t>
      </w:r>
      <w:r>
        <w:rPr/>
        <w:t xml:space="preserve"> (</w:t>
      </w:r>
      <w:r>
        <w:rPr>
          <w:rFonts w:ascii="Liberation Mono" w:hAnsi="Liberation Mono"/>
        </w:rPr>
        <w:t>PeriodoContablePatch</w:t>
      </w:r>
      <w:r>
        <w:rPr/>
        <w:t>, cerrar mes, bloqueo, reapertura) — los tests InMemory dieron 10/10.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Verificación con BD de los 5 reportes financieros</w:t>
      </w:r>
      <w:r>
        <w:rPr/>
        <w:t xml:space="preserve"> (cuadre de Balanza, Balance, ER vs. utilidad, existencias vs. kardex).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§1.4b — unificar la fuente del Estado de Resultados</w:t>
      </w:r>
      <w:r>
        <w:rPr/>
        <w:t xml:space="preserve">: ingresos y gastos aún se calculan desde </w:t>
      </w:r>
      <w:r>
        <w:rPr>
          <w:rFonts w:ascii="Liberation Mono" w:hAnsi="Liberation Mono"/>
        </w:rPr>
        <w:t>Facturas</w:t>
      </w:r>
      <w:r>
        <w:rPr/>
        <w:t>/</w:t>
      </w:r>
      <w:r>
        <w:rPr>
          <w:rFonts w:ascii="Liberation Mono" w:hAnsi="Liberation Mono"/>
        </w:rPr>
        <w:t>Producto</w:t>
      </w:r>
      <w:r>
        <w:rPr/>
        <w:t xml:space="preserve"> en vez de los asientos contables (el costo de ventas ya cuadra desde rev.4).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🟡 </w:t>
      </w:r>
      <w:r>
        <w:rPr/>
        <w:t>PRIORIDAD MEDIA — §2, §3, §6, §8</w:t>
      </w:r>
    </w:p>
    <w:p>
      <w:pPr>
        <w:pStyle w:val="BodyText"/>
        <w:bidi w:val="0"/>
        <w:jc w:val="left"/>
        <w:rPr/>
      </w:pPr>
      <w:r>
        <w:rPr>
          <w:b/>
        </w:rPr>
        <w:t>§2 Exportación/documentos</w:t>
      </w:r>
      <w:r>
        <w:rPr/>
        <w:t xml:space="preserve"> (todo implementado; solo verificación):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Verificación manual con </w:t>
      </w:r>
      <w:r>
        <w:rPr>
          <w:b/>
        </w:rPr>
        <w:t>SMTP real</w:t>
      </w:r>
      <w:r>
        <w:rPr/>
        <w:t xml:space="preserve"> (adjunto PDF del CFDI llega bien) y con </w:t>
      </w:r>
      <w:r>
        <w:rPr>
          <w:b/>
        </w:rPr>
        <w:t>PostgreSQL productivo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>§3 Auditoría y permisos — los 5 ítems están 100% pendientes: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UI de matriz permisos × roles (las tablas existen, no hay interfaz ni consumo).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IAutorizacionService.TienePermiso</w:t>
      </w:r>
      <w:r>
        <w:rPr/>
        <w:t xml:space="preserve"> aplicado en </w:t>
      </w:r>
      <w:r>
        <w:rPr>
          <w:rFonts w:ascii="Liberation Mono" w:hAnsi="Liberation Mono"/>
        </w:rPr>
        <w:t>NavMenu</w:t>
      </w:r>
      <w:r>
        <w:rPr/>
        <w:t xml:space="preserve"> y páginas críticas (hoy solo ~15 filtros de rol duro).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Ampliar </w:t>
      </w:r>
      <w:r>
        <w:rPr>
          <w:rFonts w:ascii="Liberation Mono" w:hAnsi="Liberation Mono"/>
        </w:rPr>
        <w:t>AuditLog</w:t>
      </w:r>
      <w:r>
        <w:rPr/>
        <w:t xml:space="preserve"> a crear/editar producto, precios, compras, ajustes, config, cierre de caja, transiciones de Cotizaciones/OV.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Registrar </w:t>
      </w:r>
      <w:r>
        <w:rPr>
          <w:rFonts w:ascii="Liberation Mono" w:hAnsi="Liberation Mono"/>
        </w:rPr>
        <w:t>usuario_id</w:t>
      </w:r>
      <w:r>
        <w:rPr/>
        <w:t xml:space="preserve"> de quién confirma/suspende/reanuda/cancela en OV.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Pantalla de consulta de auditoría (filtros fecha/usuario/acción).</w:t>
      </w:r>
    </w:p>
    <w:p>
      <w:pPr>
        <w:pStyle w:val="BodyText"/>
        <w:bidi w:val="0"/>
        <w:jc w:val="left"/>
        <w:rPr/>
      </w:pPr>
      <w:r>
        <w:rPr>
          <w:b/>
        </w:rPr>
        <w:t>§6 Deuda técnica (~17 ítems, esfuerzo bajo → alto impacto):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6.1 Hardcode en UI</w:t>
      </w:r>
      <w:r>
        <w:rPr/>
        <w:t xml:space="preserve"> (5): </w:t>
      </w:r>
      <w:r>
        <w:rPr>
          <w:rFonts w:ascii="Liberation Mono" w:hAnsi="Liberation Mono"/>
        </w:rPr>
        <w:t>Usuarios.razor</w:t>
      </w:r>
      <w:r>
        <w:rPr/>
        <w:t xml:space="preserve"> roles, </w:t>
      </w:r>
      <w:r>
        <w:rPr>
          <w:rFonts w:ascii="Liberation Mono" w:hAnsi="Liberation Mono"/>
        </w:rPr>
        <w:t>Compras.razor</w:t>
      </w:r>
      <w:r>
        <w:rPr/>
        <w:t xml:space="preserve"> formas de pago, motivos de cancelación duplicados, IVA/módulos futuros en </w:t>
      </w:r>
      <w:r>
        <w:rPr>
          <w:rFonts w:ascii="Liberation Mono" w:hAnsi="Liberation Mono"/>
        </w:rPr>
        <w:t>Home.razor</w:t>
      </w:r>
      <w:r>
        <w:rPr/>
        <w:t>, decisión de catálogos SAT a tabla.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6.2 SOLID/DRY</w:t>
      </w:r>
      <w:r>
        <w:rPr/>
        <w:t xml:space="preserve"> (10): helper único de sucursal B8 (~15 sitios), DIP (</w:t>
      </w:r>
      <w:r>
        <w:rPr>
          <w:rFonts w:ascii="Liberation Mono" w:hAnsi="Liberation Mono"/>
        </w:rPr>
        <w:t>Metas</w:t>
      </w:r>
      <w:r>
        <w:rPr/>
        <w:t>/</w:t>
      </w:r>
      <w:r>
        <w:rPr>
          <w:rFonts w:ascii="Liberation Mono" w:hAnsi="Liberation Mono"/>
        </w:rPr>
        <w:t>VentasPOS</w:t>
      </w:r>
      <w:r>
        <w:rPr/>
        <w:t xml:space="preserve"> inyectan </w:t>
      </w:r>
      <w:r>
        <w:rPr>
          <w:rFonts w:ascii="Liberation Mono" w:hAnsi="Liberation Mono"/>
        </w:rPr>
        <w:t>ErpDbContext</w:t>
      </w:r>
      <w:r>
        <w:rPr/>
        <w:t xml:space="preserve">), ISP de </w:t>
      </w:r>
      <w:r>
        <w:rPr>
          <w:rFonts w:ascii="Liberation Mono" w:hAnsi="Liberation Mono"/>
        </w:rPr>
        <w:t>ICotizacionesService</w:t>
      </w:r>
      <w:r>
        <w:rPr/>
        <w:t xml:space="preserve"> y </w:t>
      </w:r>
      <w:r>
        <w:rPr>
          <w:rFonts w:ascii="Liberation Mono" w:hAnsi="Liberation Mono"/>
        </w:rPr>
        <w:t>IVentasService</w:t>
      </w:r>
      <w:r>
        <w:rPr/>
        <w:t xml:space="preserve">, parámetros ignorados en asientos de compra/devolución, REGLA #1 en lecturas de cotización/OV, atomicidad de </w:t>
      </w:r>
      <w:r>
        <w:rPr>
          <w:rFonts w:ascii="Liberation Mono" w:hAnsi="Liberation Mono"/>
        </w:rPr>
        <w:t>ConvertirOrdenAVentaAsync</w:t>
      </w:r>
      <w:r>
        <w:rPr/>
        <w:t xml:space="preserve">, consistencia de estados, DRY de </w:t>
      </w:r>
      <w:r>
        <w:rPr>
          <w:rFonts w:ascii="Liberation Mono" w:hAnsi="Liberation Mono"/>
        </w:rPr>
        <w:t>CalcularTotales</w:t>
      </w:r>
      <w:r>
        <w:rPr/>
        <w:t xml:space="preserve">, enum </w:t>
      </w:r>
      <w:r>
        <w:rPr>
          <w:rFonts w:ascii="Liberation Mono" w:hAnsi="Liberation Mono"/>
        </w:rPr>
        <w:t>EstadoFactura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6.3 CFDI/PAC modo real</w:t>
      </w:r>
      <w:r>
        <w:rPr/>
        <w:t xml:space="preserve"> (2): colocar certs CSD + user-secrets, prueba Finkok TEST (PUE, PPD+REP, cancelación, </w:t>
      </w:r>
      <w:r>
        <w:rPr>
          <w:rFonts w:ascii="Liberation Mono" w:hAnsi="Liberation Mono"/>
        </w:rPr>
        <w:t>EstadoSatAsync</w:t>
      </w:r>
      <w:r>
        <w:rPr/>
        <w:t>).</w:t>
      </w:r>
    </w:p>
    <w:p>
      <w:pPr>
        <w:pStyle w:val="BodyText"/>
        <w:bidi w:val="0"/>
        <w:jc w:val="left"/>
        <w:rPr/>
      </w:pPr>
      <w:r>
        <w:rPr>
          <w:b/>
        </w:rPr>
        <w:t>§8 Documentación</w:t>
      </w:r>
      <w:r>
        <w:rPr/>
        <w:t xml:space="preserve"> (2): actualizar </w:t>
      </w:r>
      <w:r>
        <w:rPr>
          <w:rFonts w:ascii="Liberation Mono" w:hAnsi="Liberation Mono"/>
        </w:rPr>
        <w:t>README.md</w:t>
      </w:r>
      <w:r>
        <w:rPr/>
        <w:t xml:space="preserve"> con módulos nuevos; decidir commit de docs untracked.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🟢 </w:t>
      </w:r>
      <w:r>
        <w:rPr/>
        <w:t>PRIORIDAD BAJA — §4 y §5 (diferenciadores opcionales, no bloquean "ERP completo")</w:t>
      </w:r>
    </w:p>
    <w:p>
      <w:pPr>
        <w:pStyle w:val="BodyText"/>
        <w:bidi w:val="0"/>
        <w:jc w:val="left"/>
        <w:rPr/>
      </w:pPr>
      <w:r>
        <w:rPr>
          <w:b/>
        </w:rPr>
        <w:t>§4 Comercial y crédito (10 ítems):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4.1</w:t>
      </w:r>
      <w:r>
        <w:rPr/>
        <w:t xml:space="preserve"> </w:t>
      </w:r>
      <w:r>
        <w:rPr>
          <w:rFonts w:ascii="Liberation Mono" w:hAnsi="Liberation Mono"/>
        </w:rPr>
        <w:t>Cliente.LimiteCredito</w:t>
      </w:r>
      <w:r>
        <w:rPr/>
        <w:t xml:space="preserve"> + bloqueo automático POS/facturación + avisos.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4.2</w:t>
      </w:r>
      <w:r>
        <w:rPr/>
        <w:t xml:space="preserve"> Entidades </w:t>
      </w:r>
      <w:r>
        <w:rPr>
          <w:rFonts w:ascii="Liberation Mono" w:hAnsi="Liberation Mono"/>
        </w:rPr>
        <w:t>ListaPrecio</w:t>
      </w:r>
      <w:r>
        <w:rPr/>
        <w:t xml:space="preserve"> + descuento por volumen + UI de catálogos.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4.3</w:t>
      </w:r>
      <w:r>
        <w:rPr/>
        <w:t xml:space="preserve"> Guía de lubricación/compatibilidad (</w:t>
      </w:r>
      <w:r>
        <w:rPr>
          <w:rFonts w:ascii="Liberation Mono" w:hAnsi="Liberation Mono"/>
        </w:rPr>
        <w:t>VehiculoModelo</w:t>
      </w:r>
      <w:r>
        <w:rPr/>
        <w:t xml:space="preserve">, </w:t>
      </w:r>
      <w:r>
        <w:rPr>
          <w:rFonts w:ascii="Liberation Mono" w:hAnsi="Liberation Mono"/>
        </w:rPr>
        <w:t>AceiteCompatibilidad</w:t>
      </w:r>
      <w:r>
        <w:rPr/>
        <w:t>, búsqueda "¿qué aceite lleva un Versa 2020?").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4.4</w:t>
      </w:r>
      <w:r>
        <w:rPr/>
        <w:t xml:space="preserve"> Evaluación de proveedores.</w:t>
      </w:r>
    </w:p>
    <w:p>
      <w:pPr>
        <w:pStyle w:val="BodyText"/>
        <w:bidi w:val="0"/>
        <w:jc w:val="left"/>
        <w:rPr/>
      </w:pPr>
      <w:r>
        <w:rPr>
          <w:b/>
        </w:rPr>
        <w:t>§5 Logística de lubricantes (4 ítems):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Tambor abierto/granel (existencia sellada vs. en uso) · Rutas y reparto (</w:t>
      </w:r>
      <w:r>
        <w:rPr>
          <w:rFonts w:ascii="Liberation Mono" w:hAnsi="Liberation Mono"/>
        </w:rPr>
        <w:t>RutaEntrega</w:t>
      </w:r>
      <w:r>
        <w:rPr/>
        <w:t xml:space="preserve">, </w:t>
      </w:r>
      <w:r>
        <w:rPr>
          <w:rFonts w:ascii="Liberation Mono" w:hAnsi="Liberation Mono"/>
        </w:rPr>
        <w:t>VehiculoReparto</w:t>
      </w:r>
      <w:r>
        <w:rPr/>
        <w:t xml:space="preserve">, </w:t>
      </w:r>
      <w:r>
        <w:rPr>
          <w:rFonts w:ascii="Liberation Mono" w:hAnsi="Liberation Mono"/>
        </w:rPr>
        <w:t>Chofer</w:t>
      </w:r>
      <w:r>
        <w:rPr/>
        <w:t>) · Envases retornables (depósito 208 L) · Carta Porte 3.x.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🔵 </w:t>
      </w:r>
      <w:r>
        <w:rPr/>
        <w:t>§7 Verificación manual pendiente (9 ítems, con BD levantada)</w:t>
      </w:r>
    </w:p>
    <w:p>
      <w:pPr>
        <w:pStyle w:val="BodyText"/>
        <w:bidi w:val="0"/>
        <w:jc w:val="left"/>
        <w:rPr/>
      </w:pPr>
      <w:r>
        <w:rPr/>
        <w:t>2FA, RFC duplicado/cancelado, escaneo de barras, cierre de comisión, conciliación en UI, smoke de Cotizaciones/OV, timbrado Finkok, reportes financieros con BD, cierre de periodo con BD.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Orden de ataque recomendado (el que fija el propio documento)</w:t>
      </w:r>
    </w:p>
    <w:p>
      <w:pPr>
        <w:pStyle w:val="Citaenbloque"/>
        <w:bidi w:val="0"/>
        <w:jc w:val="left"/>
        <w:rPr/>
      </w:pPr>
      <w:r>
        <w:rPr>
          <w:b/>
        </w:rPr>
        <w:t>1 → 2 → 3</w:t>
      </w:r>
      <w:r>
        <w:rPr/>
        <w:t xml:space="preserve">, atacando </w:t>
      </w:r>
      <w:r>
        <w:rPr>
          <w:b/>
        </w:rPr>
        <w:t>§6 en paralelo</w:t>
      </w:r>
      <w:r>
        <w:rPr/>
        <w:t xml:space="preserve"> (6.1 → 6.2 → 6.3 por ser esfuerzo bajo y alto impacto). </w:t>
      </w:r>
      <w:r>
        <w:rPr>
          <w:b/>
        </w:rPr>
        <w:t>§4 y §5 son opcionales</w:t>
      </w:r>
      <w:r>
        <w:rPr/>
        <w:t xml:space="preserve"> para considerar el ERP "completo", valiosos para el negocio.</w:t>
      </w:r>
    </w:p>
    <w:p>
      <w:pPr>
        <w:pStyle w:val="Heading3"/>
        <w:bidi w:val="0"/>
        <w:ind w:hanging="0" w:left="0"/>
        <w:jc w:val="left"/>
        <w:rPr/>
      </w:pPr>
      <w:r>
        <w:rPr/>
        <w:t>Observación: 3 ítems del checklist parecen desactualizados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Línea 63: dice falta exportación Excel/PDF de reportes, pero §2.1/§9 marca </w:t>
      </w:r>
      <w:r>
        <w:rPr>
          <w:rFonts w:ascii="Liberation Mono" w:hAnsi="Liberation Mono"/>
        </w:rPr>
        <w:t>FinancieroPdfAsync</w:t>
      </w:r>
      <w:r>
        <w:rPr/>
        <w:t xml:space="preserve"> como </w:t>
      </w:r>
      <w:r>
        <w:rPr>
          <w:b/>
        </w:rPr>
        <w:t>hecho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Línea 110: dice que solo se adjunta el XML, pero §9 (línea 88) confirma que </w:t>
      </w:r>
      <w:r>
        <w:rPr>
          <w:rFonts w:ascii="Liberation Mono" w:hAnsi="Liberation Mono"/>
        </w:rPr>
        <w:t>EnviarCfdiAsync</w:t>
      </w:r>
      <w:r>
        <w:rPr/>
        <w:t xml:space="preserve"> ya adjunta </w:t>
      </w:r>
      <w:r>
        <w:rPr>
          <w:b/>
        </w:rPr>
        <w:t>XML + PDF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Línea 130: dice que </w:t>
      </w:r>
      <w:r>
        <w:rPr>
          <w:rFonts w:ascii="Liberation Mono" w:hAnsi="Liberation Mono"/>
        </w:rPr>
        <w:t>Cliente.DiasCredito</w:t>
      </w:r>
      <w:r>
        <w:rPr/>
        <w:t xml:space="preserve"> no existe, pero §1.2 (línea 30, verificado hoy) indica que </w:t>
      </w:r>
      <w:r>
        <w:rPr>
          <w:b/>
        </w:rPr>
        <w:t>ya existe</w:t>
      </w:r>
      <w:r>
        <w:rPr/>
        <w:t xml:space="preserve"> con default 0.</w:t>
      </w:r>
    </w:p>
    <w:p>
      <w:pPr>
        <w:pStyle w:val="BodyText"/>
        <w:bidi w:val="0"/>
        <w:jc w:val="left"/>
        <w:rPr/>
      </w:pPr>
      <w:r>
        <w:rPr/>
        <w:t>Conviene limpiar esos 3 renglones para que el checklist refleje el estado real. Si quieres, en modo Act puedo actualizar el archivo o atacar alguno de los pendientes de prioridad alta.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>Voy a releer el checklist actualizado y ordenar únicamente lo pendiente por prioridad, distinguiendo bloqueantes funcionales, seguridad/operación y mejoras opcionales.</w:t>
      </w:r>
    </w:p>
    <w:p>
      <w:pPr>
        <w:pStyle w:val="BodyText"/>
        <w:bidi w:val="0"/>
        <w:jc w:val="left"/>
        <w:rPr/>
      </w:pPr>
      <w:r>
        <w:rPr/>
        <w:t xml:space="preserve">Leído el </w:t>
      </w:r>
      <w:r>
        <w:rPr>
          <w:rFonts w:ascii="Liberation Mono" w:hAnsi="Liberation Mono"/>
        </w:rPr>
        <w:t>Checklist completitud ERP.md</w:t>
      </w:r>
      <w:r>
        <w:rPr/>
        <w:t>. Recomiendo priorizar lo pendiente así: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Prioridad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Qué atender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Por qué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P0 — Seguridad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Completar la matriz de permisos por rol y aplicarla en el menú y páginas críticas (§3).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Las tablas existen, pero mientras no se apliquen, el acceso depende de guards fijos dispersos. Al sustituirlos, conservar una matriz inicial equivalente a los accesos actuales para no alterar permisos por accidente.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P1 — Integridad operativa y contable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Definir cómo impedir o manejar ventas y notas de crédito en periodos cerrados (§1.3); hacer atómica la conversión OV → venta (§6.2); unificar ingresos y gastos del Estado de Resultados con sus asientos contables (§1.4b).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Evita cierres que no reflejen las operaciones reales, ventas parcialmente persistidas y diferencias entre reportes y libro contable.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P1 — Crédito y cobranza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Agregar </w:t>
            </w:r>
            <w:r>
              <w:rPr>
                <w:rFonts w:ascii="Liberation Mono" w:hAnsi="Liberation Mono"/>
              </w:rPr>
              <w:t>Cliente.LimiteCredito</w:t>
            </w:r>
            <w:r>
              <w:rPr/>
              <w:t>, administrarlo desde la UI y bloquear POS/facturación según saldo vencido (§1.2 y §4.1).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El checklist identifica expresamente el bloqueo por morosidad como pendiente y necesario para que CxC sea operativo.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P1 — Verificación sobre PostgreSQL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Probar CxC/CxP, parche y cierre de periodos, y los reportes financieros en una base PostgreSQL de prueba (§1.2, §1.3, §1.4 y §7).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Las pruebas con EF InMemory no verifican plenamente los parches SQL, backfills ni el comportamiento del proveedor de base de datos.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P2 — Operación externa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Ejecutar pruebas de SMTP real y el flujo Finkok TEST —PUE, PPD/REP, cancelación y consulta SAT— cuando estén disponibles CSD y credenciales seguras (§2.1, §2.2 y §6.3).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Son validaciones importantes antes de operar correo y timbrado reales, pero dependen de configuración y certificados externos.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P2 — Trazabilidad restante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Ampliar auditoría a productos/precios, compras, ajustes de almacén, configuración y cierre de caja (§3).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Ya se contempla la auditoría de transiciones de OV, pero todavía falta cubrir otras operaciones relevantes.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P3 — Mejoras y mantenimiento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Completar listas de precios y descuentos por volumen (§4.2); luego compatibilidad de aceites (§4.3), evaluación de proveedores (§4.4) y deuda técnica de menor impacto (§6).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Aportan valor comercial y mantenibilidad, pero no son tan urgentes como seguridad, integridad contable y crédito.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P4 — Ampliaciones logísticas y documentación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Tambor abierto/granel, rutas, envases retornables y Carta Porte (§5); actualizar el README (§8).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El propio checklist trata logística como opcional para alcanzar “ERP completo”; la documentación puede hacerse después de estabilizar el alcance funcional.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b/>
        </w:rPr>
        <w:t>Antes de tomar la lista como fuente definitiva</w:t>
      </w:r>
      <w:r>
        <w:rPr/>
        <w:t>, conviene sincronizarla con el código: vi pendientes duplicados o contradictorios —por ejemplo, exportación y PDF del CFDI aparecen como hechos en §2.1, pero también como pendientes en otras secciones— y varios ítems de §6 ya estaban en cambios de trabajo previos. Además, la verificación PostgreSQL debe hacerse en una base de prueba, no directamente en producción.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spacing w:before="0" w:after="0"/>
        <w:ind w:hanging="0" w:left="0"/>
        <w:jc w:val="left"/>
        <w:rPr/>
      </w:pPr>
      <w:r>
        <w:rPr/>
        <w:t>revisa porque a veces no puedo abrir un menú, por ejemplo: Contactos después de haber abierto configuración con el usuario administrador y corrígelo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Corregí el acordeón de </w:t>
      </w:r>
      <w:r>
        <w:rPr>
          <w:rFonts w:ascii="Liberation Mono" w:hAnsi="Liberation Mono"/>
        </w:rPr>
        <w:t>NavMenu.razor</w:t>
      </w:r>
      <w:r>
        <w:rPr/>
        <w:t xml:space="preserve">: ahora cada grupo puede abrirse sin cerrar el anterior. Así, </w:t>
      </w:r>
      <w:r>
        <w:rPr>
          <w:b/>
        </w:rPr>
        <w:t>Contactos</w:t>
      </w:r>
      <w:r>
        <w:rPr/>
        <w:t xml:space="preserve"> permanece accesible aunque </w:t>
      </w:r>
      <w:r>
        <w:rPr>
          <w:b/>
        </w:rPr>
        <w:t>Configuración</w:t>
      </w:r>
      <w:r>
        <w:rPr/>
        <w:t xml:space="preserve"> esté abierto; hacer clic de nuevo en un grupo lo cierra, y al navegar se abre automáticamente el grupo correspondiente a la página.</w:t>
      </w:r>
    </w:p>
    <w:p>
      <w:pPr>
        <w:pStyle w:val="BodyText"/>
        <w:bidi w:val="0"/>
        <w:jc w:val="left"/>
        <w:rPr/>
      </w:pPr>
      <w:r>
        <w:rPr>
          <w:b/>
        </w:rPr>
        <w:t>Validación:</w:t>
      </w:r>
      <w:r>
        <w:rPr/>
        <w:t xml:space="preserve"> compilación correcta y </w:t>
      </w:r>
      <w:r>
        <w:rPr>
          <w:rFonts w:ascii="Liberation Mono" w:hAnsi="Liberation Mono"/>
        </w:rPr>
        <w:t>git diff --check</w:t>
      </w:r>
      <w:r>
        <w:rPr/>
        <w:t xml:space="preserve"> limpio. La compilación se hizo en una carpeta temporal porque la instancia activa del ERP tenía bloqueado el archivo de salida.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itaenbloque">
    <w:name w:val="Cita en bloque"/>
    <w:basedOn w:val="Normal"/>
    <w:qFormat/>
    <w:pPr>
      <w:spacing w:before="0" w:after="283"/>
      <w:ind w:hanging="0" w:left="567" w:right="567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92</TotalTime>
  <Application>LibreOffice/26.2.5.2$Windows_X86_64 LibreOffice_project/cd7284b4cbbfeb507e630c1aac019f4157393acb</Application>
  <AppVersion>15.0000</AppVersion>
  <Pages>4</Pages>
  <Words>1245</Words>
  <Characters>7128</Characters>
  <CharactersWithSpaces>8291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2026-10-14T14:12:33Z</dcterms:created>
  <dc:creator/>
  <dc:description/>
  <dc:language>es-MX</dc:language>
  <cp:lastModifiedBy/>
  <dcterms:modified xsi:type="dcterms:W3CDTF">2026-10-14T15:44:44Z</dcterms:modified>
  <cp:revision>2</cp:revision>
  <dc:subject/>
  <dc:title/>
</cp:coreProperties>
</file>