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legends and alternative text</w:t>
      </w:r>
    </w:p>
    <w:p>
      <w:pPr>
        <w:pStyle w:val="Heading2"/>
      </w:pPr>
      <w:r>
        <w:t>Figure_1.tiff</w:t>
      </w:r>
    </w:p>
    <w:p>
      <w:r>
        <w:rPr>
          <w:b/>
        </w:rPr>
        <w:t xml:space="preserve">Legend: </w:t>
      </w:r>
      <w:r>
        <w:t>Figure 1. Age-specific distribution of 22 health conditions associated with mobility limitation, USA, based on Global Burden of Disease 2019 estimates. Prevalence values for 2019 were square-root transformed and normalized separately for each condition by dividing by its maximum value across age groups. The vertical axis shows the cumulative sum of these transformed, normalized values, not numbers of cases, and is intended for visualization only; because people may have more than one condition, the stacked values are not a total population burden. Spacing between adjacent age groups is proportional to square-root-transformed 2019 health care spending, so wider spacing indicates greater spending. Coloured bands represent individual conditions, and numbers correspond to the condition key below the figure. Residual 'other' categories and conditions with small normalized values are not shown.</w:t>
      </w:r>
    </w:p>
    <w:p>
      <w:r>
        <w:rPr>
          <w:b/>
        </w:rPr>
        <w:t xml:space="preserve">Alt text: </w:t>
      </w:r>
      <w:r>
        <w:t>Stacked area chart of 22 health conditions across 18 age groups from under 5 to 85 years and older. The total height of the stack rises from childhood to a peak at ages 60 to 69 years and falls in the oldest age groups. The age groups are spaced further apart in later life, reflecting higher health care spending. Type 2 diabetes, low back pain, falls and non-fall injuries form wide bands across most of adult life.</w:t>
      </w:r>
    </w:p>
    <w:p>
      <w:pPr>
        <w:pStyle w:val="Heading2"/>
      </w:pPr>
      <w:r>
        <w:t>Figure_2.tiff</w:t>
      </w:r>
    </w:p>
    <w:p>
      <w:r>
        <w:rPr>
          <w:b/>
        </w:rPr>
        <w:t xml:space="preserve">Legend: </w:t>
      </w:r>
      <w:r>
        <w:t>Figure 2. Composite rank of health conditions associated with mobility limitation by the weight given to years lived with disability (YLDs), for each of the 18 five-year age groups (panels A–R), USA. Composite scores combined min–max normalized 2019 YLDs and 2019 health care spending; a weight of 0 represents spending only and a weight of 1 represents YLDs only. Lines show conditions ranked in the top 10 at any weight; dots show conditions in the top 10 at a single weight only. The dotted vertical line marks the primary analysis (equal weights). Each condition has the same colour in every panel.</w:t>
      </w:r>
    </w:p>
    <w:p>
      <w:r>
        <w:rPr>
          <w:b/>
        </w:rPr>
        <w:t xml:space="preserve">Alt text: </w:t>
      </w:r>
      <w:r>
        <w:t>Eighteen small line charts, one per age group, showing how the rank of each condition (1 to 10) changes as the weight on disability rises from 0 to 1. In older age groups, falls move up to first place as more weight is given to disability, while type 2 diabetes ranks first when spending has more weight. In younger age groups, low back pain rises with more weight on disability.</w:t>
      </w:r>
    </w:p>
    <w:p>
      <w:pPr>
        <w:pStyle w:val="Heading2"/>
      </w:pPr>
      <w:r>
        <w:t>Appendix_Figure_1.tiff</w:t>
      </w:r>
    </w:p>
    <w:p>
      <w:r>
        <w:rPr>
          <w:b/>
        </w:rPr>
        <w:t xml:space="preserve">Legend: </w:t>
      </w:r>
      <w:r>
        <w:t>Appendix Figure 1. Probability of top-10 membership in age-specific composite rankings across 10 000 Monte Carlo simulations. Cells show the percentage of simulations in which each condition was among the 10 highest-ranked conditions within each age group; values are shown for probabilities below 95%. Grey cells indicate that the condition was not included in the analysis for that age group. Composite scores combined normalized 2019 YLDs and 2019 health care spending with equal weights; normalization and rankings were recalculated in each simulation.</w:t>
      </w:r>
    </w:p>
    <w:p>
      <w:r>
        <w:rPr>
          <w:b/>
        </w:rPr>
        <w:t xml:space="preserve">Alt text: </w:t>
      </w:r>
      <w:r>
        <w:t>Heat map with 24 conditions as rows and 18 age groups as columns. Dark purple cells show conditions that were in the top 10 in almost all simulations, and pale cells show low probabilities. Falls and non-fall injuries are dark purple in every age group. Most uncertainty is seen for conditions near tenth place, such as rheumatoid arthritis at 70 to 74 years and peripheral arterial disease at 85 years and older.</w:t>
      </w:r>
    </w:p>
    <w:p>
      <w:pPr>
        <w:pStyle w:val="Heading2"/>
      </w:pPr>
      <w:r>
        <w:t>Appendix_Figure_2.tiff</w:t>
      </w:r>
    </w:p>
    <w:p>
      <w:r>
        <w:rPr>
          <w:b/>
        </w:rPr>
        <w:t xml:space="preserve">Legend: </w:t>
      </w:r>
      <w:r>
        <w:t>Appendix Figure 2. Relative difference in estimated prevalence of fall-related and non-fall injuries in the USA between the 2019 and 2023 GBD estimates, by age group. Positive values indicate higher estimated prevalence in 2023 than in 2019, and negative values indicate lower estimated prevalence. Non-fall injuries are all injuries minus falls within each nature-of-injury category, summed across categories.</w:t>
      </w:r>
    </w:p>
    <w:p>
      <w:r>
        <w:rPr>
          <w:b/>
        </w:rPr>
        <w:t xml:space="preserve">Alt text: </w:t>
      </w:r>
      <w:r>
        <w:t>Line chart with two lines across 18 age groups. Fall injuries are 8% to 19% higher in the 2023 estimates up to age 44 years, lower from 45 to 64 years, and higher again from 65 to 84 years. Non-fall injuries are mostly slightly lower up to age 59 years and higher from 60 to 84 years, with the largest difference, 22%, at 75 to 79 years.</w:t>
      </w:r>
    </w:p>
    <w:p>
      <w:pPr>
        <w:pStyle w:val="Heading2"/>
      </w:pPr>
      <w:r>
        <w:t>Appendix_Figure_3.tiff</w:t>
      </w:r>
    </w:p>
    <w:p>
      <w:r>
        <w:rPr>
          <w:b/>
        </w:rPr>
        <w:t xml:space="preserve">Legend: </w:t>
      </w:r>
      <w:r>
        <w:t>Appendix Figure 3. Prevalence of fall-related (A) and non-fall (B) injuries by nature of injury and age group, USA, 2023. Bars show the number of prevalent cases for each nature-of-injury category on a logarithmic scale.</w:t>
      </w:r>
    </w:p>
    <w:p>
      <w:r>
        <w:rPr>
          <w:b/>
        </w:rPr>
        <w:t xml:space="preserve">Alt text: </w:t>
      </w:r>
      <w:r>
        <w:t>Two grouped bar charts on a logarithmic scale, one for fall injuries and one for non-fall injuries, with seven injury types for each of 18 age groups. Fractures are the most common fall injury and rise sharply with age. Non-fall injuries are spread more evenly across injury types and age groups.</w:t>
      </w:r>
    </w:p>
    <w:p>
      <w:pPr>
        <w:pStyle w:val="Heading2"/>
      </w:pPr>
      <w:r>
        <w:t>Appendix_Figure_4.tiff</w:t>
      </w:r>
    </w:p>
    <w:p>
      <w:r>
        <w:rPr>
          <w:b/>
        </w:rPr>
        <w:t xml:space="preserve">Legend: </w:t>
      </w:r>
      <w:r>
        <w:t>Appendix Figure 4. [Use the caption in the supplement.]</w:t>
      </w:r>
    </w:p>
    <w:p>
      <w:r>
        <w:rPr>
          <w:b/>
        </w:rPr>
        <w:t xml:space="preserve">Alt text: </w:t>
      </w:r>
      <w:r>
        <w:t>Horizontal bar charts comparing estimated case counts for males and females for the 10 most common conditions in each age group, with the percentage difference for females compared with males.</w:t>
      </w:r>
    </w:p>
    <w:p>
      <w:pPr>
        <w:pStyle w:val="Heading2"/>
      </w:pPr>
      <w:r>
        <w:t>Appendix_Figure_5.tiff</w:t>
      </w:r>
    </w:p>
    <w:p>
      <w:r>
        <w:rPr>
          <w:b/>
        </w:rPr>
        <w:t xml:space="preserve">Legend: </w:t>
      </w:r>
      <w:r>
        <w:t>Appendix Figure 5. [Use the caption in the supplement.]</w:t>
      </w:r>
    </w:p>
    <w:p>
      <w:r>
        <w:rPr>
          <w:b/>
        </w:rPr>
        <w:t xml:space="preserve">Alt text: </w:t>
      </w:r>
      <w:r>
        <w:t>As for Appendix Figure 4, for children aged 5 to 9 years and adults aged 35 to 49 years.</w:t>
      </w:r>
    </w:p>
    <w:p>
      <w:pPr>
        <w:pStyle w:val="Heading2"/>
      </w:pPr>
      <w:r>
        <w:t>Appendix_Figure_6.tiff</w:t>
      </w:r>
    </w:p>
    <w:p>
      <w:r>
        <w:rPr>
          <w:b/>
        </w:rPr>
        <w:t xml:space="preserve">Legend: </w:t>
      </w:r>
      <w:r>
        <w:t>Appendix Figure 6. [Use the caption in the supplement.]</w:t>
      </w:r>
    </w:p>
    <w:p>
      <w:r>
        <w:rPr>
          <w:b/>
        </w:rPr>
        <w:t xml:space="preserve">Alt text: </w:t>
      </w:r>
      <w:r>
        <w:t>As for Appendix Figure 4, for adults aged 50 to 74 years.</w:t>
      </w:r>
    </w:p>
    <w:p>
      <w:pPr>
        <w:pStyle w:val="Heading2"/>
      </w:pPr>
      <w:r>
        <w:t>Appendix_Figure_7.tiff</w:t>
      </w:r>
    </w:p>
    <w:p>
      <w:r>
        <w:rPr>
          <w:b/>
        </w:rPr>
        <w:t xml:space="preserve">Legend: </w:t>
      </w:r>
      <w:r>
        <w:t>Appendix Figure 7. [Use the caption in the supplement.]</w:t>
      </w:r>
    </w:p>
    <w:p>
      <w:r>
        <w:rPr>
          <w:b/>
        </w:rPr>
        <w:t xml:space="preserve">Alt text: </w:t>
      </w:r>
      <w:r>
        <w:t>As for Appendix Figure 4, for adults aged 75 years and older and children younger than 5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