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8A1" w:rsidRPr="00B8195D" w:rsidRDefault="000928A1" w:rsidP="00B8195D">
      <w:pPr>
        <w:autoSpaceDE w:val="0"/>
        <w:autoSpaceDN w:val="0"/>
        <w:adjustRightInd w:val="0"/>
        <w:spacing w:after="0" w:line="240" w:lineRule="auto"/>
        <w:jc w:val="center"/>
        <w:rPr>
          <w:rFonts w:ascii="Calluna-Regular" w:eastAsia="Calluna-Regular" w:cs="Calluna-Regular"/>
          <w:color w:val="333333"/>
          <w:u w:val="words"/>
        </w:rPr>
      </w:pPr>
      <w:r w:rsidRPr="00B8195D">
        <w:rPr>
          <w:rFonts w:ascii="Calluna-Regular" w:eastAsia="Calluna-Regular" w:cs="Calluna-Regular"/>
          <w:color w:val="333333"/>
          <w:sz w:val="26"/>
          <w:szCs w:val="26"/>
          <w:u w:val="words"/>
        </w:rPr>
        <w:t>TITULO V</w:t>
      </w:r>
      <w:r w:rsidR="00B8195D">
        <w:rPr>
          <w:rFonts w:ascii="Calluna-Regular" w:eastAsia="Calluna-Regular" w:cs="Calluna-Regular"/>
          <w:color w:val="333333"/>
          <w:sz w:val="26"/>
          <w:szCs w:val="26"/>
          <w:u w:val="words"/>
        </w:rPr>
        <w:t>:</w:t>
      </w:r>
      <w:r w:rsidR="005127A8" w:rsidRPr="00B8195D">
        <w:rPr>
          <w:rFonts w:ascii="Calluna-Regular" w:eastAsia="Calluna-Regular" w:cs="Calluna-Regular"/>
          <w:color w:val="333333"/>
          <w:sz w:val="26"/>
          <w:szCs w:val="26"/>
          <w:u w:val="words"/>
        </w:rPr>
        <w:t xml:space="preserve"> </w:t>
      </w:r>
      <w:r w:rsidRPr="00B8195D">
        <w:rPr>
          <w:rFonts w:ascii="Calluna-Regular" w:eastAsia="Calluna-Regular" w:cs="Calluna-Regular"/>
          <w:color w:val="333333"/>
          <w:u w:val="words"/>
        </w:rPr>
        <w:t>Propiedad horizontal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cs="Calluna-Regular"/>
          <w:color w:val="4D4D4D"/>
          <w:sz w:val="20"/>
          <w:szCs w:val="20"/>
        </w:rPr>
      </w:pPr>
      <w:r>
        <w:rPr>
          <w:rFonts w:ascii="Calluna-Regular" w:eastAsia="Calluna-Regular" w:cs="Calluna-Regular"/>
          <w:color w:val="4D4D4D"/>
          <w:sz w:val="24"/>
          <w:szCs w:val="24"/>
        </w:rPr>
        <w:t>CAPITULO 1</w:t>
      </w:r>
      <w:r w:rsidR="005127A8">
        <w:rPr>
          <w:rFonts w:ascii="Calluna-Regular" w:eastAsia="Calluna-Regular" w:cs="Calluna-Regular"/>
          <w:color w:val="4D4D4D"/>
          <w:sz w:val="24"/>
          <w:szCs w:val="24"/>
        </w:rPr>
        <w:t xml:space="preserve">: </w:t>
      </w:r>
      <w:r>
        <w:rPr>
          <w:rFonts w:ascii="Calluna-Regular" w:eastAsia="Calluna-Regular" w:cs="Calluna-Regular"/>
          <w:color w:val="4D4D4D"/>
          <w:sz w:val="20"/>
          <w:szCs w:val="20"/>
        </w:rPr>
        <w:t>Disposiciones generales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Medium" w:eastAsia="Calluna-Regular" w:hAnsi="AvenirLTStd-Medium" w:cs="AvenirLTStd-Medium"/>
          <w:color w:val="4D4D4D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2037.-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Concepto.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La propiedad horiz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ontal es el derecho real que se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sobre un inmueble propio que otorga a su titular facult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ades de uso, goce y disposición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material y jurídica que se ejercen sobre partes privativ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as y sobre partes comunes de un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edificio, de conformidad con lo que establece este Tí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tulo y el respectivo reglamento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 propiedad horizontal. Las diversas partes del inmue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ble así como las facultades que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sobre ellas se tienen son interdependientes y conforman un todo no escindible.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Medium" w:eastAsia="Calluna-Regular" w:hAnsi="AvenirLTStd-Medium" w:cs="AvenirLTStd-Medium"/>
          <w:color w:val="4D4D4D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2038.-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Constitución.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A los fines de la división ju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rídica del edificio, el titular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 dominio o los condóminos deben redactar, por escr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itura pública, el reglamento de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propiedad horizontal, que debe inscribirse en el registro inmobiliario.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reglamento de propiedad horizontal se integra al tí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tulo suficiente sobre la unidad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funcional.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Medium" w:eastAsia="Calluna-Regular" w:hAnsi="AvenirLTStd-Medium" w:cs="AvenirLTStd-Medium"/>
          <w:color w:val="4D4D4D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2039.-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Unidad funcional.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derecho de pr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opiedad horizontal se determina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en la unidad funcional, que consiste en pisos, departam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entos, locales u otros espacios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susceptibles de aprovechamiento por su naturaleza o de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stino, que tengan independencia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funcional, y comunicación con la vía pública, directamente o por un pasaje común.</w:t>
      </w:r>
    </w:p>
    <w:p w:rsidR="00591ACD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La propiedad de la unidad funcional comprende la parte ind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ivisa del terreno, de las cosas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y partes de uso común del inmueble o indispensab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les para mantener su seguridad,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y puede abarcar una o más unidades complementarias destinadas a servirla.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2040.-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Cosas y partes comunes. </w:t>
      </w:r>
      <w:r>
        <w:rPr>
          <w:rFonts w:ascii="AvenirLTStd-Light" w:hAnsi="AvenirLTStd-Light" w:cs="AvenirLTStd-Light"/>
          <w:color w:val="000000"/>
          <w:sz w:val="18"/>
          <w:szCs w:val="18"/>
        </w:rPr>
        <w:t>Son comunes a todas o a algunas de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las unidades funcionales las cosas y partes de uso común de ellas o indispensables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para mantener su seguridad y las que se determinan en el reglamento de propiedad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horizontal. Las cosas y partes cuyo uso no está determinado, se consideran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comunes.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Sobre estas cosas y partes ningún propietario puede alegar derecho exclusivo, sin perjuicio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su afectación exclusiva a una o varias unidades funcionales.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Cada propietario puede usar las cosas y partes comunes conforme a su destino, sin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perjudicar o restringir los derechos de los otros propietarios.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2041.-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Cosas y partes necesariamente comunes. </w:t>
      </w:r>
      <w:r>
        <w:rPr>
          <w:rFonts w:ascii="AvenirLTStd-Light" w:hAnsi="AvenirLTStd-Light" w:cs="AvenirLTStd-Light"/>
          <w:color w:val="000000"/>
          <w:sz w:val="18"/>
          <w:szCs w:val="18"/>
        </w:rPr>
        <w:t>Son cosas y partes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necesariamente comunes: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a. </w:t>
      </w:r>
      <w:r>
        <w:rPr>
          <w:rFonts w:ascii="AvenirLTStd-Light" w:hAnsi="AvenirLTStd-Light" w:cs="AvenirLTStd-Light"/>
          <w:color w:val="000000"/>
          <w:sz w:val="18"/>
          <w:szCs w:val="18"/>
        </w:rPr>
        <w:t>el terreno;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b.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los pasillos, vías o elementos que comunican unidades entre sí y a éstas con el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exterior;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c.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los techos, azoteas, terrazas y patios solares;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d.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los cimientos, columnas, vigas portantes, muros maestros y demás estructuras,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incluso las de balcones, indispensables para mantener la seguridad;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e.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los locales e instalaciones de los servicios centrales;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f.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las cañerías que conducen fluidos o energía en toda su extensión, y los cableados,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hasta su ingreso en la unidad funcional;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g.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la vivienda para alojamiento del encargado;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h.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los ascensores, montacargas y escaleras mecánicas;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i.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los muros exteriores y los divisorios de unidades entre sí y con cosas y partes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comunes;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j.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las instalaciones necesarias para el acceso y circulación de personas con discapacidad,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fijas o móviles, externas a la unidad funcional, y las vías de evacuación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alternativas para casos de siniestros;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k. </w:t>
      </w:r>
      <w:r>
        <w:rPr>
          <w:rFonts w:ascii="AvenirLTStd-Light" w:hAnsi="AvenirLTStd-Light" w:cs="AvenirLTStd-Light"/>
          <w:color w:val="000000"/>
          <w:sz w:val="18"/>
          <w:szCs w:val="18"/>
        </w:rPr>
        <w:t>todos los artefactos o instalaciones existentes para servicios de beneficio común;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l.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los locales destinados a sanitarios o vestuario del personal que trabaja para el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consorcio.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Esta enumeración tiene carácter enunciativo.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2042.-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Cosas y partes comunes no indispensables. </w:t>
      </w:r>
      <w:r>
        <w:rPr>
          <w:rFonts w:ascii="AvenirLTStd-Light" w:hAnsi="AvenirLTStd-Light" w:cs="AvenirLTStd-Light"/>
          <w:color w:val="000000"/>
          <w:sz w:val="18"/>
          <w:szCs w:val="18"/>
        </w:rPr>
        <w:t>Son cosas y partes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comunes no indispensables: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a.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la piscina;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b. </w:t>
      </w:r>
      <w:r>
        <w:rPr>
          <w:rFonts w:ascii="AvenirLTStd-Light" w:hAnsi="AvenirLTStd-Light" w:cs="AvenirLTStd-Light"/>
          <w:color w:val="000000"/>
          <w:sz w:val="18"/>
          <w:szCs w:val="18"/>
        </w:rPr>
        <w:t>el solárium;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c.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gimnasio;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d.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lavadero;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e.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salón de usos múltiples.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Esta enumeración tiene carácter enunciativo.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2043.-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Cosas y partes propias. </w:t>
      </w:r>
      <w:r>
        <w:rPr>
          <w:rFonts w:ascii="AvenirLTStd-Light" w:hAnsi="AvenirLTStd-Light" w:cs="AvenirLTStd-Light"/>
          <w:color w:val="000000"/>
          <w:sz w:val="18"/>
          <w:szCs w:val="18"/>
        </w:rPr>
        <w:t>Son necesariamente propias con respecto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a la unidad funcional las cosas y partes comprendidas en el volumen limitado por sus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estructuras divisorias, los tabiques internos no portantes, las puertas, ventanas, artefactos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y los revestimientos, incluso de los balcones.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También son propias las cosas y partes que, susceptibles de un derecho exclusivo, son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previstas como tales en el reglamento de propiedad horizontal, sin perjuicio de las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restricciones que impone la convivencia ordenada.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Medium" w:hAnsi="AvenirLTStd-Medium" w:cs="AvenirLTStd-Medium"/>
          <w:color w:val="4D4D4D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2044.-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Consorcio. </w:t>
      </w:r>
      <w:r>
        <w:rPr>
          <w:rFonts w:ascii="AvenirLTStd-Light" w:hAnsi="AvenirLTStd-Light" w:cs="AvenirLTStd-Light"/>
          <w:color w:val="000000"/>
          <w:sz w:val="18"/>
          <w:szCs w:val="18"/>
        </w:rPr>
        <w:t>El conjunto de los propietarios de las unidades funcionales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constituye la persona jurídica consorcio. Tiene su domicilio en el inmueble. Sus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órganos son la asamblea, el consejo de propietarios y el administrador.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lastRenderedPageBreak/>
        <w:t>La personalidad del consorcio se extingue por la desafectación del inmueble del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régimen de propiedad horizontal, sea por acuerdo unánime de los propietarios instrumentado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en escritura pública o por resolución judicial, inscripta en el registro</w:t>
      </w: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inmobiliario.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cs="Calluna-Regular"/>
          <w:color w:val="4D4D4D"/>
          <w:sz w:val="20"/>
          <w:szCs w:val="20"/>
        </w:rPr>
      </w:pPr>
      <w:r>
        <w:rPr>
          <w:rFonts w:ascii="Calluna-Regular" w:eastAsia="Calluna-Regular" w:cs="Calluna-Regular"/>
          <w:color w:val="4D4D4D"/>
          <w:sz w:val="24"/>
          <w:szCs w:val="24"/>
        </w:rPr>
        <w:t>CAPITULO 2</w:t>
      </w:r>
      <w:r w:rsidR="005127A8">
        <w:rPr>
          <w:rFonts w:ascii="Calluna-Regular" w:eastAsia="Calluna-Regular" w:cs="Calluna-Regular"/>
          <w:color w:val="4D4D4D"/>
          <w:sz w:val="24"/>
          <w:szCs w:val="24"/>
        </w:rPr>
        <w:t xml:space="preserve">: </w:t>
      </w:r>
      <w:r>
        <w:rPr>
          <w:rFonts w:ascii="Calluna-Regular" w:eastAsia="Calluna-Regular" w:cs="Calluna-Regular"/>
          <w:color w:val="4D4D4D"/>
          <w:sz w:val="20"/>
          <w:szCs w:val="20"/>
        </w:rPr>
        <w:t>Facultades y obligaciones de los propietarios</w:t>
      </w:r>
    </w:p>
    <w:p w:rsidR="005127A8" w:rsidRDefault="005127A8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cs="Calluna-Regular"/>
          <w:color w:val="4D4D4D"/>
          <w:sz w:val="20"/>
          <w:szCs w:val="20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2045.-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Facultades.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Cada propietario puede, sin necesidad de consentimiento</w:t>
      </w:r>
      <w:r w:rsidR="005127A8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 los demás, enajenar la unidad funcional que le pertenece, o sobre ella</w:t>
      </w:r>
      <w:r w:rsidR="005127A8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constituir derechos reales o personales. La constitución, transmisión o extinción de un</w:t>
      </w:r>
      <w:r w:rsidR="005127A8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derecho real, gravamen o embargo sobre la unidad funcional, comprende a las cosas</w:t>
      </w:r>
      <w:r w:rsidR="005127A8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y partes comunes y a la unidad complementaria, y no puede realizarse separadamente</w:t>
      </w:r>
      <w:r w:rsidR="005127A8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 éstas.</w:t>
      </w:r>
    </w:p>
    <w:p w:rsidR="005127A8" w:rsidRDefault="005127A8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2046.-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Obligaciones.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propietario está obligado a: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a.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cumplir con las disposiciones del reglamento de propiedad horizontal, y del reglamento</w:t>
      </w:r>
      <w:r w:rsidR="005127A8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interno, si lo hay;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b.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conservar en buen estado su unidad funcional;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c.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pagar expensas comunes ordinarias y extraordinarias en la proporción de su parte</w:t>
      </w:r>
      <w:r w:rsidR="005127A8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indivisa;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d.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contribuir a la integración del fondo de reserva, si lo hay;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e.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permitir el acceso a su unidad funcional para realizar reparaciones de cosas y partes</w:t>
      </w:r>
      <w:r w:rsidR="005127A8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comunes y de bienes del consorcio, como asimismo para verificar el funcionamiento</w:t>
      </w:r>
      <w:r w:rsidR="005127A8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cocinas, calefones, estufas y otras cosas riesgosas o para controlar los trabajos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su instalación;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Light" w:cs="Calluna-Regular"/>
          <w:color w:val="4D4D4D"/>
          <w:sz w:val="20"/>
          <w:szCs w:val="20"/>
        </w:rPr>
        <w:t xml:space="preserve">f. </w:t>
      </w:r>
      <w:r>
        <w:rPr>
          <w:rFonts w:ascii="AvenirLTStd-Light" w:hAnsi="AvenirLTStd-Light" w:cs="AvenirLTStd-Light"/>
          <w:color w:val="000000"/>
          <w:sz w:val="18"/>
          <w:szCs w:val="18"/>
        </w:rPr>
        <w:t>notificar fehacientemente al administrador su domicilio especial si opta por constituir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uno diferente del de la unidad funcional.</w:t>
      </w:r>
    </w:p>
    <w:p w:rsidR="005127A8" w:rsidRDefault="005127A8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2047.-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Prohibiciones. </w:t>
      </w:r>
      <w:r>
        <w:rPr>
          <w:rFonts w:ascii="AvenirLTStd-Light" w:hAnsi="AvenirLTStd-Light" w:cs="AvenirLTStd-Light"/>
          <w:color w:val="000000"/>
          <w:sz w:val="18"/>
          <w:szCs w:val="18"/>
        </w:rPr>
        <w:t>Está prohibido a los propietarios y ocupantes: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Light" w:cs="Calluna-Regular"/>
          <w:color w:val="4D4D4D"/>
          <w:sz w:val="20"/>
          <w:szCs w:val="20"/>
        </w:rPr>
        <w:t xml:space="preserve">a.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destinar las unidades funcionales a usos contrarios a la moral o a fines distintos a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los previstos en el reglamento de propiedad horizontal;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Light" w:cs="Calluna-Regular"/>
          <w:color w:val="4D4D4D"/>
          <w:sz w:val="20"/>
          <w:szCs w:val="20"/>
        </w:rPr>
        <w:t xml:space="preserve">b. </w:t>
      </w:r>
      <w:r>
        <w:rPr>
          <w:rFonts w:ascii="AvenirLTStd-Light" w:hAnsi="AvenirLTStd-Light" w:cs="AvenirLTStd-Light"/>
          <w:color w:val="000000"/>
          <w:sz w:val="18"/>
          <w:szCs w:val="18"/>
        </w:rPr>
        <w:t>perturbar la tranquilidad de los demás de cualquier manera que exceda la normal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tolerancia;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Light" w:cs="Calluna-Regular"/>
          <w:color w:val="4D4D4D"/>
          <w:sz w:val="20"/>
          <w:szCs w:val="20"/>
        </w:rPr>
        <w:t xml:space="preserve">c. </w:t>
      </w:r>
      <w:r>
        <w:rPr>
          <w:rFonts w:ascii="AvenirLTStd-Light" w:hAnsi="AvenirLTStd-Light" w:cs="AvenirLTStd-Light"/>
          <w:color w:val="000000"/>
          <w:sz w:val="18"/>
          <w:szCs w:val="18"/>
        </w:rPr>
        <w:t>ejercer actividades que comprometan la seguridad del inmueble;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Light" w:cs="Calluna-Regular"/>
          <w:color w:val="4D4D4D"/>
          <w:sz w:val="20"/>
          <w:szCs w:val="20"/>
        </w:rPr>
        <w:t xml:space="preserve">d.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depositar cosas peligrosas o perjudiciales.</w:t>
      </w:r>
    </w:p>
    <w:p w:rsidR="005127A8" w:rsidRDefault="005127A8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2048.-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Gastos y contribuciones. </w:t>
      </w:r>
      <w:r>
        <w:rPr>
          <w:rFonts w:ascii="AvenirLTStd-Light" w:hAnsi="AvenirLTStd-Light" w:cs="AvenirLTStd-Light"/>
          <w:color w:val="000000"/>
          <w:sz w:val="18"/>
          <w:szCs w:val="18"/>
        </w:rPr>
        <w:t>Cada propietario debe atender los gastos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conservación y reparación de su propia unidad funcional.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Asimismo, debe pagar las expensas comunes ordinarias de administración y reparación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o sustitución de las cosas y partes comunes o bienes del consorcio, necesarias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para mantener en buen estado las condiciones de seguridad, comodidad y decoro del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inmueble y las resultantes de las obligaciones impuestas al administrador por la ley,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por el reglamento o por la asamblea.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Igualmente son expensas comunes ordinarias las requeridas por las instalaciones necesarias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para el acceso o circulación de personas con discapacidad, fijas o móviles, y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para las vías de evacuación alternativas para casos de siniestros.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Debe también pagar las expensas comunes extraordinarias dispuestas por resolución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la asamblea.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El certificado de deuda expedido por el administrador y aprobado por el consejo de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propietarios, si éste existe, es título ejecutivo para el cobro a los propietarios de las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expensas y demás contribuciones.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2049.-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Defensas.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Los propietarios no pueden liberarse del pago de ninguna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expensa o contribución a su cargo aun con respecto a las devengadas antes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su adquisición, por renuncia al uso y goce de los bienes o servicios comunes, por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enajenación voluntaria o forzosa, ni por abandono de su unidad funcional.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Tampoco pueden rehusar el pago de expensas o contribuciones ni oponer defensas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por cualquier causa, fundadas en derechos que ellos invoquen contra el consorcio,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excepto compensación, sin perjuicio de su articulación por la vía correspondiente.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El reglamento de propiedad horizontal puede eximir parcialmente de las contribuciones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por expensas a las unidades funcionales que no tienen acceso a determinados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servicios o sectores del edificio que generan dichas erogaciones.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2050.-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Obligados al pago de expensas. </w:t>
      </w:r>
      <w:r>
        <w:rPr>
          <w:rFonts w:ascii="AvenirLTStd-Light" w:hAnsi="AvenirLTStd-Light" w:cs="AvenirLTStd-Light"/>
          <w:color w:val="000000"/>
          <w:sz w:val="18"/>
          <w:szCs w:val="18"/>
        </w:rPr>
        <w:t>Además del propietario, y sin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implicar liberación de éste, están obligados al pago de los gastos y contribuciones de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la propiedad horizontal los que sean poseedores por cualquier título.</w:t>
      </w:r>
    </w:p>
    <w:p w:rsidR="005127A8" w:rsidRDefault="005127A8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hAnsi="AvenirLTStd-Medium" w:cs="Calluna-Regular"/>
          <w:color w:val="4D4D4D"/>
          <w:sz w:val="20"/>
          <w:szCs w:val="20"/>
        </w:rPr>
      </w:pPr>
      <w:r>
        <w:rPr>
          <w:rFonts w:ascii="Calluna-Regular" w:eastAsia="Calluna-Regular" w:hAnsi="AvenirLTStd-Medium" w:cs="Calluna-Regular"/>
          <w:color w:val="4D4D4D"/>
          <w:sz w:val="24"/>
          <w:szCs w:val="24"/>
        </w:rPr>
        <w:t>CAPITULO 3</w:t>
      </w:r>
      <w:r w:rsidR="005127A8">
        <w:rPr>
          <w:rFonts w:ascii="Calluna-Regular" w:eastAsia="Calluna-Regular" w:hAnsi="AvenirLTStd-Medium" w:cs="Calluna-Regular"/>
          <w:color w:val="4D4D4D"/>
          <w:sz w:val="24"/>
          <w:szCs w:val="24"/>
        </w:rPr>
        <w:t xml:space="preserve">: </w:t>
      </w: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>Modificaciones en cosas y partes comunes</w:t>
      </w:r>
    </w:p>
    <w:p w:rsidR="005127A8" w:rsidRDefault="005127A8" w:rsidP="000928A1">
      <w:pPr>
        <w:autoSpaceDE w:val="0"/>
        <w:autoSpaceDN w:val="0"/>
        <w:adjustRightInd w:val="0"/>
        <w:spacing w:after="0" w:line="240" w:lineRule="auto"/>
        <w:rPr>
          <w:rFonts w:ascii="AvenirLTStd-Medium" w:hAnsi="AvenirLTStd-Medium" w:cs="AvenirLTStd-Medium"/>
          <w:color w:val="4D4D4D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2051.-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Mejora u obra nueva que requiere mayoría. </w:t>
      </w:r>
      <w:r>
        <w:rPr>
          <w:rFonts w:ascii="AvenirLTStd-Light" w:hAnsi="AvenirLTStd-Light" w:cs="AvenirLTStd-Light"/>
          <w:color w:val="000000"/>
          <w:sz w:val="18"/>
          <w:szCs w:val="18"/>
        </w:rPr>
        <w:t>Para realizar mejoras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u obras nuevas sobre cosas y partes comunes, los propietarios o el consorcio requieren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consentimiento de la mayoría de los propietarios, previo informe técnico de un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profesional autorizado.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Quien solicita la autorización si le es denegada, o la minoría afectada en su interés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particular que se opone a la autorización si se concede, tienen acción para que el juez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deje sin efecto la decisión de la asamblea.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El juez debe evaluar si la mejora u obra nueva es de costo excesivo, contraria al reglamento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o a la ley, y si afecta la seguridad, solidez, salubridad, destino y aspecto arquitectónico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exterior o interior del inmueble. La resolución de la mayoría no se suspende</w:t>
      </w:r>
      <w:r w:rsidR="005127A8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sin una orden judicial expresa.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lastRenderedPageBreak/>
        <w:t xml:space="preserve">ARTÍCULO 2052.-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Mejora u obra nueva que requiere unanimidad. </w:t>
      </w:r>
      <w:r>
        <w:rPr>
          <w:rFonts w:ascii="AvenirLTStd-Light" w:hAnsi="AvenirLTStd-Light" w:cs="AvenirLTStd-Light"/>
          <w:color w:val="000000"/>
          <w:sz w:val="18"/>
          <w:szCs w:val="18"/>
        </w:rPr>
        <w:t>Si la mejora u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obra nueva, realizada por un propietario o por el consorcio sobre cosas y partes comunes,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aun cuando no importe elevar nuevos pisos o hacer excavaciones, gravita o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modifica la estructura del inmueble de una manera sustancial, debe realizarse con el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acuerdo unánime de los propietarios.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También requiere unanimidad la mejora u obra nueva sobre cosas y partes comunes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en interés particular que sólo beneficia a un propietario.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2053.-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Mejora u obra nueva en interés particular. </w:t>
      </w:r>
      <w:r>
        <w:rPr>
          <w:rFonts w:ascii="AvenirLTStd-Light" w:hAnsi="AvenirLTStd-Light" w:cs="AvenirLTStd-Light"/>
          <w:color w:val="000000"/>
          <w:sz w:val="18"/>
          <w:szCs w:val="18"/>
        </w:rPr>
        <w:t>Si la mejora u obra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nueva autorizada sobre cosas y partes comunes es en interés particular, el beneficiario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debe efectuarla a su costa y soportar los gastos de la modificación del reglamento de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propiedad horizontal y de su inscripción, si hubiera lugar a ellos.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2054.-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Reparaciones urgentes. </w:t>
      </w:r>
      <w:r>
        <w:rPr>
          <w:rFonts w:ascii="AvenirLTStd-Light" w:hAnsi="AvenirLTStd-Light" w:cs="AvenirLTStd-Light"/>
          <w:color w:val="000000"/>
          <w:sz w:val="18"/>
          <w:szCs w:val="18"/>
        </w:rPr>
        <w:t>Cualquier propietario, en ausencia del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administrador y de los integrantes del consejo de propietarios puede realizar reparaciones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urgentes en las cosas y partes comunes, con carácter de gestor de negocios.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Si el gasto resulta injustificado, el consorcio puede negar el reintegro total o parcial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y exigir, si corresponde, la restitución de los bienes a su estado anterior, a costa del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propietario.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2055.-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Grave deterioro o destrucción del edificio. </w:t>
      </w:r>
      <w:r>
        <w:rPr>
          <w:rFonts w:ascii="AvenirLTStd-Light" w:hAnsi="AvenirLTStd-Light" w:cs="AvenirLTStd-Light"/>
          <w:color w:val="000000"/>
          <w:sz w:val="18"/>
          <w:szCs w:val="18"/>
        </w:rPr>
        <w:t>En caso de grave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deterioro o destrucción del edificio, la asamblea por mayoría que represente más de la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mitad del valor, puede resolver su demolición y la venta del terreno y de los materiales,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la reparación o la reconstrucción.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sz w:val="18"/>
          <w:szCs w:val="18"/>
        </w:rPr>
      </w:pPr>
      <w:r>
        <w:rPr>
          <w:rFonts w:ascii="AvenirLTStd-Light" w:hAnsi="AvenirLTStd-Light" w:cs="AvenirLTStd-Light"/>
          <w:sz w:val="18"/>
          <w:szCs w:val="18"/>
        </w:rPr>
        <w:t>Si resuelve la reconstrucción, la minoría no puede ser obligada a contribuir a ella, y</w:t>
      </w:r>
      <w:r w:rsidR="00B8195D">
        <w:rPr>
          <w:rFonts w:ascii="AvenirLTStd-Light" w:hAnsi="AvenirLTStd-Light" w:cs="AvenirLTStd-Light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sz w:val="18"/>
          <w:szCs w:val="18"/>
        </w:rPr>
        <w:t>puede liberarse por transmisión de sus derechos a terceros dispuestos a emprender</w:t>
      </w:r>
      <w:r w:rsidR="00B8195D">
        <w:rPr>
          <w:rFonts w:ascii="AvenirLTStd-Light" w:hAnsi="AvenirLTStd-Light" w:cs="AvenirLTStd-Light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sz w:val="18"/>
          <w:szCs w:val="18"/>
        </w:rPr>
        <w:t>la obra. Ante la ausencia de interesados, la mayoría puede adquirir la parte de los</w:t>
      </w:r>
      <w:r w:rsidR="00B8195D">
        <w:rPr>
          <w:rFonts w:ascii="AvenirLTStd-Light" w:hAnsi="AvenirLTStd-Light" w:cs="AvenirLTStd-Light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sz w:val="18"/>
          <w:szCs w:val="18"/>
        </w:rPr>
        <w:t>disconformes, según valuación judicial.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cs="Calluna-Regular"/>
          <w:color w:val="4D4D4D"/>
          <w:sz w:val="20"/>
          <w:szCs w:val="20"/>
        </w:rPr>
      </w:pPr>
      <w:r>
        <w:rPr>
          <w:rFonts w:ascii="Calluna-Regular" w:eastAsia="Calluna-Regular" w:cs="Calluna-Regular"/>
          <w:color w:val="4D4D4D"/>
          <w:sz w:val="24"/>
          <w:szCs w:val="24"/>
        </w:rPr>
        <w:t>CAPITULO 4</w:t>
      </w:r>
      <w:r w:rsidR="00B8195D">
        <w:rPr>
          <w:rFonts w:ascii="Calluna-Regular" w:eastAsia="Calluna-Regular" w:cs="Calluna-Regular"/>
          <w:color w:val="4D4D4D"/>
          <w:sz w:val="24"/>
          <w:szCs w:val="24"/>
        </w:rPr>
        <w:t xml:space="preserve">: </w:t>
      </w:r>
      <w:r>
        <w:rPr>
          <w:rFonts w:ascii="Calluna-Regular" w:eastAsia="Calluna-Regular" w:cs="Calluna-Regular"/>
          <w:color w:val="4D4D4D"/>
          <w:sz w:val="20"/>
          <w:szCs w:val="20"/>
        </w:rPr>
        <w:t>Reglamento de propiedad horizontal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cs="Calluna-Regular"/>
          <w:color w:val="4D4D4D"/>
          <w:sz w:val="20"/>
          <w:szCs w:val="20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2056.-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Contenido.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reglamento de propiedad horizontal debe contener: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a.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determinación del terreno;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b.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determinación de las unidades funcionales y complementarias;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c.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enumeración de los bienes propios;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d.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enumeración de las cosas y partes comunes;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e.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composición del patrimonio del consorcio;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f.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determinación de la parte proporcional indivisa de cada unidad;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g.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determinación de la proporción en el pago de las expensas comunes;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h.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uso y goce de las cosas y partes comunes;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i.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uso y goce de los bienes del consorcio;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j.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destino de las unidades funcionales;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k.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destino de las partes comunes;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l.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facultades especiales de las asambleas de propietarios;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m.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determinación de la forma de convocar la reunión de propietarios, su periodicidad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y su forma de notificación;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n.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especificación de limitaciones a la cantidad de cartas poderes que puede detentar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cada titular de unidad funcional para representar a otros en asambleas;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n.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determinación de las mayorías necesarias para las distintas decisiones;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o.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determinación de las mayorías necesarias para modificar el reglamento de propiedad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horizontal;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p.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forma de computar las mayorías;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q.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determinación de eventuales prohibiciones para la disposición o locación de unidades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complementarias hacia terceros no propietarios;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r.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designación, facultades y obligaciones especiales del administrador;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s.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plazo de ejercicio de la función de administrador;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t.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fijación del ejercicio financiero del consorcio;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u.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facultades especiales del consejo de propietarios.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2057.-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Modificación del reglamento. </w:t>
      </w:r>
      <w:r>
        <w:rPr>
          <w:rFonts w:ascii="AvenirLTStd-Light" w:hAnsi="AvenirLTStd-Light" w:cs="AvenirLTStd-Light"/>
          <w:color w:val="000000"/>
          <w:sz w:val="18"/>
          <w:szCs w:val="18"/>
        </w:rPr>
        <w:t>El reglamento sólo puede modificarse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por resolución de los propietarios, mediante una mayoría de dos tercios de la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totalidad de los propietarios.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cs="Calluna-Regular"/>
          <w:color w:val="4D4D4D"/>
          <w:sz w:val="20"/>
          <w:szCs w:val="20"/>
        </w:rPr>
      </w:pPr>
      <w:r>
        <w:rPr>
          <w:rFonts w:ascii="Calluna-Regular" w:eastAsia="Calluna-Regular" w:cs="Calluna-Regular"/>
          <w:color w:val="4D4D4D"/>
          <w:sz w:val="24"/>
          <w:szCs w:val="24"/>
        </w:rPr>
        <w:t>CAPITULO 5</w:t>
      </w:r>
      <w:r w:rsidR="00B8195D">
        <w:rPr>
          <w:rFonts w:ascii="Calluna-Regular" w:eastAsia="Calluna-Regular" w:cs="Calluna-Regular"/>
          <w:color w:val="4D4D4D"/>
          <w:sz w:val="24"/>
          <w:szCs w:val="24"/>
        </w:rPr>
        <w:t xml:space="preserve">: </w:t>
      </w:r>
      <w:r>
        <w:rPr>
          <w:rFonts w:ascii="Calluna-Regular" w:eastAsia="Calluna-Regular" w:cs="Calluna-Regular"/>
          <w:color w:val="4D4D4D"/>
          <w:sz w:val="20"/>
          <w:szCs w:val="20"/>
        </w:rPr>
        <w:t>Asambleas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cs="Calluna-Regular"/>
          <w:color w:val="4D4D4D"/>
          <w:sz w:val="20"/>
          <w:szCs w:val="20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2058.-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Facultades de la asamblea.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La asamblea es la reunión de propietarios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facultada para resolver: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a.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las cuestiones que le son atribuidas especialmente por la ley o por el reglamento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 propiedad horizontal;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b.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las cuestiones atribuidas al administrador o al consejo de propietarios cuando le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son sometidas por cualquiera de éstos o por quien representa el cinco por ciento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 las partes proporcionales indivisas con relación al conjunto;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lastRenderedPageBreak/>
        <w:t xml:space="preserve">c.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las cuestiones sobre la conformidad con el nombramiento y despido del personal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del consorcio;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d.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las cuestiones no contempladas como atribuciones del administrador o del consejo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 propietarios, si lo hubiere.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2059.-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Convocatoria y quórum.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Los propietarios deben ser convocados a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la asamblea en la forma prevista en el reglamento de propiedad horizontal, con transcripción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del orden del día, el que debe redactarse en forma precisa y completa; es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nulo el tratamiento de otros temas, excepto si están presentes todos los propietarios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y acuerdan por unanimidad tratar el tema.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La asamblea puede </w:t>
      </w:r>
      <w:proofErr w:type="spellStart"/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autoconvoc</w:t>
      </w:r>
      <w:bookmarkStart w:id="0" w:name="_GoBack"/>
      <w:bookmarkEnd w:id="0"/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arse</w:t>
      </w:r>
      <w:proofErr w:type="spellEnd"/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para deliberar. Las decisiones que se adopten son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válidas si la </w:t>
      </w:r>
      <w:proofErr w:type="spellStart"/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autoconvocatoria</w:t>
      </w:r>
      <w:proofErr w:type="spellEnd"/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y el temario a tratar se aprueban por una mayoría de dos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tercios de la totalidad de los propietarios.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Son igualmente válidas las decisiones tomadas por voluntad unánime del total de los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propietarios aunque no lo hagan en asamblea.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2060.-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Mayoría absoluta.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Las decisiones de la asamblea se adoptan por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mayoría absoluta computada sobre la totalidad de los propietarios de las unidades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funcionales y se forma con la doble exigencia del número de unidades y de las partes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proporcionales indivisas de éstas con relación al conjunto.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La mayoría de los presentes puede proponer decisiones, las que deben comunicarse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por medio fehaciente a los propietarios ausentes y se tienen por aprobadas a los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quince días de notificados, excepto que éstos se opongan antes por igual medio, con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mayoría suficiente.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El derecho a promover acción judicial de nulidad de la asamblea caduca a los treinta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días contados desde la fecha de la asamblea.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2061.-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Conformidad expresa del titular. </w:t>
      </w:r>
      <w:r>
        <w:rPr>
          <w:rFonts w:ascii="AvenirLTStd-Light" w:hAnsi="AvenirLTStd-Light" w:cs="AvenirLTStd-Light"/>
          <w:color w:val="000000"/>
          <w:sz w:val="18"/>
          <w:szCs w:val="18"/>
        </w:rPr>
        <w:t>Para la supresión o limitación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derechos acordados a las unidades que excedan de meras cuestiones de funcionamiento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cotidiano, la mayoría debe integrarse con la conformidad expresa de sus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titulares.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2062.-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Actas. </w:t>
      </w:r>
      <w:r>
        <w:rPr>
          <w:rFonts w:ascii="AvenirLTStd-Light" w:hAnsi="AvenirLTStd-Light" w:cs="AvenirLTStd-Light"/>
          <w:color w:val="000000"/>
          <w:sz w:val="18"/>
          <w:szCs w:val="18"/>
        </w:rPr>
        <w:t>Sin perjuicio de los restantes libros referidos a la administración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del consorcio, es obligatorio llevar un Libro de Actas de Asamblea y un Libro de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Registro de firmas de los propietarios.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Debe labrarse acta de cada asamblea en el libro respectivo, en el que los presentes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deben firmar como constancia de su asistencia. Las firmas que suscriben cada asamblea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deben ser cotejadas por el administrador con las firmas originales registradas.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Las actas deben confeccionarse por un secretario de actas elegido por los propietarios;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éstas deben contener el resumen de lo deliberado y la transcripción de las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decisiones adoptadas o, en su caso, propuestas por la mayoría de los presentes, y ser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firmadas por el presidente de la asamblea y dos propietarios. Al pie de cada acta, el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administrador debe dejar constancia de las comunicaciones enviadas a los ausentes,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las oposiciones recibidas y de las eventuales conformidades expresas.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2063.-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Asamblea judicial. </w:t>
      </w:r>
      <w:r>
        <w:rPr>
          <w:rFonts w:ascii="AvenirLTStd-Light" w:hAnsi="AvenirLTStd-Light" w:cs="AvenirLTStd-Light"/>
          <w:color w:val="000000"/>
          <w:sz w:val="18"/>
          <w:szCs w:val="18"/>
        </w:rPr>
        <w:t>Si el administrador o el consejo de propietarios,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en subsidio, omiten convocar a la asamblea, los propietarios que representan el diez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por ciento del total pueden solicitar al juez la convocatoria de una asamblea judicial.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El juez debe fijar una audiencia a realizarse en su presencia a la que debe convocar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a los propietarios. La asamblea judicial puede resolver con mayoría simple de presentes.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Si no llega a una decisión, decide el juez en forma sumarísima. Asimismo, y si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corresponde, el juez puede disponer medidas cautelares para regularizar la situación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del consorcio.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hAnsi="AvenirLTStd-Medium" w:cs="Calluna-Regular"/>
          <w:color w:val="4D4D4D"/>
          <w:sz w:val="20"/>
          <w:szCs w:val="20"/>
        </w:rPr>
      </w:pPr>
      <w:r>
        <w:rPr>
          <w:rFonts w:ascii="Calluna-Regular" w:eastAsia="Calluna-Regular" w:hAnsi="AvenirLTStd-Medium" w:cs="Calluna-Regular"/>
          <w:color w:val="4D4D4D"/>
          <w:sz w:val="24"/>
          <w:szCs w:val="24"/>
        </w:rPr>
        <w:t>CAPITULO 6</w:t>
      </w:r>
      <w:r w:rsidR="00B8195D">
        <w:rPr>
          <w:rFonts w:ascii="Calluna-Regular" w:eastAsia="Calluna-Regular" w:hAnsi="AvenirLTStd-Medium" w:cs="Calluna-Regular"/>
          <w:color w:val="4D4D4D"/>
          <w:sz w:val="24"/>
          <w:szCs w:val="24"/>
        </w:rPr>
        <w:t xml:space="preserve">: </w:t>
      </w: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>Consejo de propietarios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hAnsi="AvenirLTStd-Medium" w:cs="Calluna-Regular"/>
          <w:color w:val="4D4D4D"/>
          <w:sz w:val="20"/>
          <w:szCs w:val="20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2064.-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Atribuciones. </w:t>
      </w:r>
      <w:r>
        <w:rPr>
          <w:rFonts w:ascii="AvenirLTStd-Light" w:hAnsi="AvenirLTStd-Light" w:cs="AvenirLTStd-Light"/>
          <w:color w:val="000000"/>
          <w:sz w:val="18"/>
          <w:szCs w:val="18"/>
        </w:rPr>
        <w:t>La asamblea puede designar un consejo integrado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por propietarios, con las siguientes atribuciones: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a. </w:t>
      </w:r>
      <w:r>
        <w:rPr>
          <w:rFonts w:ascii="AvenirLTStd-Light" w:hAnsi="AvenirLTStd-Light" w:cs="AvenirLTStd-Light"/>
          <w:color w:val="000000"/>
          <w:sz w:val="18"/>
          <w:szCs w:val="18"/>
        </w:rPr>
        <w:t>convocar a la asamblea y redactar el orden del día si por cualquier causa el administrador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omite hacerlo;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b. </w:t>
      </w:r>
      <w:r>
        <w:rPr>
          <w:rFonts w:ascii="AvenirLTStd-Light" w:hAnsi="AvenirLTStd-Light" w:cs="AvenirLTStd-Light"/>
          <w:color w:val="000000"/>
          <w:sz w:val="18"/>
          <w:szCs w:val="18"/>
        </w:rPr>
        <w:t>controlar los aspectos económicos y financieros del consorcio;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c. </w:t>
      </w:r>
      <w:r>
        <w:rPr>
          <w:rFonts w:ascii="AvenirLTStd-Light" w:hAnsi="AvenirLTStd-Light" w:cs="AvenirLTStd-Light"/>
          <w:color w:val="000000"/>
          <w:sz w:val="18"/>
          <w:szCs w:val="18"/>
        </w:rPr>
        <w:t>autorizar al administrador para disponer del fondo de reserva, ante gastos imprevistos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y mayores que los ordinarios;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Medium" w:cs="Calluna-Regular"/>
          <w:color w:val="4D4D4D"/>
          <w:sz w:val="20"/>
          <w:szCs w:val="20"/>
        </w:rPr>
        <w:t xml:space="preserve">d. </w:t>
      </w:r>
      <w:r>
        <w:rPr>
          <w:rFonts w:ascii="AvenirLTStd-Light" w:hAnsi="AvenirLTStd-Light" w:cs="AvenirLTStd-Light"/>
          <w:color w:val="000000"/>
          <w:sz w:val="18"/>
          <w:szCs w:val="18"/>
        </w:rPr>
        <w:t>ejercer la administración del consorcio en caso de vacancia o ausencia del administrador,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y convocar a la asamblea si el cargo está vacante dentro de los treinta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días de producida la vacancia.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Excepto los casos indicados en este artículo, el consejo de propietarios no sustituye al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administrador, ni puede cumplir sus obligaciones.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cs="Calluna-Regular"/>
          <w:color w:val="4D4D4D"/>
          <w:sz w:val="20"/>
          <w:szCs w:val="20"/>
        </w:rPr>
      </w:pPr>
      <w:r>
        <w:rPr>
          <w:rFonts w:ascii="Calluna-Regular" w:eastAsia="Calluna-Regular" w:cs="Calluna-Regular"/>
          <w:color w:val="4D4D4D"/>
          <w:sz w:val="24"/>
          <w:szCs w:val="24"/>
        </w:rPr>
        <w:t>CAPITULO 7</w:t>
      </w:r>
      <w:r w:rsidR="00B8195D">
        <w:rPr>
          <w:rFonts w:ascii="Calluna-Regular" w:eastAsia="Calluna-Regular" w:cs="Calluna-Regular"/>
          <w:color w:val="4D4D4D"/>
          <w:sz w:val="24"/>
          <w:szCs w:val="24"/>
        </w:rPr>
        <w:t xml:space="preserve">: </w:t>
      </w:r>
      <w:r>
        <w:rPr>
          <w:rFonts w:ascii="Calluna-Regular" w:eastAsia="Calluna-Regular" w:cs="Calluna-Regular"/>
          <w:color w:val="4D4D4D"/>
          <w:sz w:val="20"/>
          <w:szCs w:val="20"/>
        </w:rPr>
        <w:t>Administrador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cs="Calluna-Regular"/>
          <w:color w:val="4D4D4D"/>
          <w:sz w:val="20"/>
          <w:szCs w:val="20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2065.-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Representación legal.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administrador es representante legal del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consorcio con el carácter de mandatario. Puede serlo un propietario o un tercero,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persona humana o jurídica.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2066.-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Designación y remoción.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administrador designado en el reglamento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 propiedad horizontal cesa en oportunidad de la primera asamblea si no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es ratificado en ella. La primera asamblea debe realizarse dentro de los noventa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lastRenderedPageBreak/>
        <w:t>días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 cumplidos los dos años del otorgamiento del reglamento o del momento en que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se encuentren ocupadas el cincuenta por ciento de las unidades funcionales, lo que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ocurra primero.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Los administradores sucesivos deben ser nombrados y removidos por la asamblea,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sin que ello importe la reforma del reglamento de propiedad horizontal. Pueden ser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removidos sin expresión de causa.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2067.-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Derechos y obligaciones.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administrador tiene los derechos y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obligaciones impuestos por la ley, el reglamento y la asamblea de propietarios. En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especial debe: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a.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convocar a la asamblea y redactar el orden del día;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b.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ejecutar las decisiones de la asamblea;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c.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atender a la conservación de las cosas y partes comunes y a la seguridad de la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estructura del edificio y dar cumplimiento a todas las normas de seguridad y verificaciones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impuestas por las reglamentaciones locales;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d.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practicar la cuenta de expensas y recaudar los fondos necesarios para satisfacerlas.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Para disponer total o parcialmente del fondo de reserva, ante gastos imprevistos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y mayores que los ordinarios, el administrador debe requerir la autorización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previa del consejo de propietarios;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e.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rendir cuenta documentada dentro de los sesenta días de la fecha de cierre del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ejercicio financiero fijado en el reglamento de propiedad horizontal;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f.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nombrar y despedir al personal del consorcio, con acuerdo de la asamblea convocada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al efecto;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g.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cumplir con las obligaciones derivadas de la legislación laboral, previsional y tributaria;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h.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mantener asegurado el inmueble con un seguro integral de consorcios que incluya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incendio, responsabilidad civil y demás riesgos de práctica, aparte de asegurar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otros riesgos que la asamblea resuelva cubrir;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i.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llevar en legal forma los libros de actas, de administración, de registro de propietarios,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 registros de firmas y cualquier otro que exija la reglamentación local.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También debe archivar cronológicamente las liquidaciones de expensas, y conservar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todos los antecedentes documentales de la constitución del consorcio y de las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sucesivas administraciones;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Light" w:cs="Calluna-Regular"/>
          <w:color w:val="4D4D4D"/>
          <w:sz w:val="20"/>
          <w:szCs w:val="20"/>
        </w:rPr>
        <w:t xml:space="preserve">j. </w:t>
      </w:r>
      <w:r>
        <w:rPr>
          <w:rFonts w:ascii="AvenirLTStd-Light" w:hAnsi="AvenirLTStd-Light" w:cs="AvenirLTStd-Light"/>
          <w:color w:val="000000"/>
          <w:sz w:val="18"/>
          <w:szCs w:val="18"/>
        </w:rPr>
        <w:t>en caso de renuncia o remoción, dentro de los quince días hábiles debe entregar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al consejo de propietarios los activos existentes, libros y documentos del consorcio,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y rendir cuentas documentadas;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Light" w:cs="Calluna-Regular"/>
          <w:color w:val="4D4D4D"/>
          <w:sz w:val="20"/>
          <w:szCs w:val="20"/>
        </w:rPr>
        <w:t xml:space="preserve">k. </w:t>
      </w:r>
      <w:r>
        <w:rPr>
          <w:rFonts w:ascii="AvenirLTStd-Light" w:hAnsi="AvenirLTStd-Light" w:cs="AvenirLTStd-Light"/>
          <w:color w:val="000000"/>
          <w:sz w:val="18"/>
          <w:szCs w:val="18"/>
        </w:rPr>
        <w:t>notificar a todos los propietarios inmediatamente, y en ningún caso después de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las cuarenta y ocho horas hábiles de recibir la comunicación respectiva, la existencia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reclamos administrativos o judiciales que afecten al consorcio;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Light" w:cs="Calluna-Regular"/>
          <w:color w:val="4D4D4D"/>
          <w:sz w:val="20"/>
          <w:szCs w:val="20"/>
        </w:rPr>
        <w:t xml:space="preserve">l. </w:t>
      </w:r>
      <w:r>
        <w:rPr>
          <w:rFonts w:ascii="AvenirLTStd-Light" w:hAnsi="AvenirLTStd-Light" w:cs="AvenirLTStd-Light"/>
          <w:color w:val="000000"/>
          <w:sz w:val="18"/>
          <w:szCs w:val="18"/>
        </w:rPr>
        <w:t>a pedido de parte interesada, expedir dentro del plazo de tres días hábiles el certificado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deudas y de créditos del consorcio por todo concepto con constancia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la existencia de reclamos administrativos o judiciales e información sobre los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seguros vigentes;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hAnsi="AvenirLTStd-Light" w:cs="Calluna-Regular"/>
          <w:color w:val="4D4D4D"/>
          <w:sz w:val="20"/>
          <w:szCs w:val="20"/>
        </w:rPr>
        <w:t xml:space="preserve">m. </w:t>
      </w:r>
      <w:r>
        <w:rPr>
          <w:rFonts w:ascii="AvenirLTStd-Light" w:hAnsi="AvenirLTStd-Light" w:cs="AvenirLTStd-Light"/>
          <w:color w:val="000000"/>
          <w:sz w:val="18"/>
          <w:szCs w:val="18"/>
        </w:rPr>
        <w:t>representar al consorcio en todas las gestiones administrativas y judiciales como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mandatario exclusivo con todas las facultades propias de su carácter de representante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legal.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hAnsi="AvenirLTStd-Light" w:cs="Calluna-Regular"/>
          <w:color w:val="4D4D4D"/>
          <w:sz w:val="20"/>
          <w:szCs w:val="20"/>
        </w:rPr>
      </w:pPr>
      <w:r>
        <w:rPr>
          <w:rFonts w:ascii="Calluna-Regular" w:eastAsia="Calluna-Regular" w:hAnsi="AvenirLTStd-Light" w:cs="Calluna-Regular"/>
          <w:color w:val="4D4D4D"/>
          <w:sz w:val="24"/>
          <w:szCs w:val="24"/>
        </w:rPr>
        <w:t>CAPITULO 8</w:t>
      </w:r>
      <w:r w:rsidR="00B8195D">
        <w:rPr>
          <w:rFonts w:ascii="Calluna-Regular" w:eastAsia="Calluna-Regular" w:hAnsi="AvenirLTStd-Light" w:cs="Calluna-Regular"/>
          <w:color w:val="4D4D4D"/>
          <w:sz w:val="24"/>
          <w:szCs w:val="24"/>
        </w:rPr>
        <w:t xml:space="preserve">: </w:t>
      </w:r>
      <w:proofErr w:type="spellStart"/>
      <w:r>
        <w:rPr>
          <w:rFonts w:ascii="Calluna-Regular" w:eastAsia="Calluna-Regular" w:hAnsi="AvenirLTStd-Light" w:cs="Calluna-Regular"/>
          <w:color w:val="4D4D4D"/>
          <w:sz w:val="20"/>
          <w:szCs w:val="20"/>
        </w:rPr>
        <w:t>Subconsorcios</w:t>
      </w:r>
      <w:proofErr w:type="spellEnd"/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hAnsi="AvenirLTStd-Light" w:cs="Calluna-Regular"/>
          <w:color w:val="4D4D4D"/>
          <w:sz w:val="20"/>
          <w:szCs w:val="20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2068.-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Sectores con independencia. </w:t>
      </w:r>
      <w:r>
        <w:rPr>
          <w:rFonts w:ascii="AvenirLTStd-Light" w:hAnsi="AvenirLTStd-Light" w:cs="AvenirLTStd-Light"/>
          <w:color w:val="000000"/>
          <w:sz w:val="18"/>
          <w:szCs w:val="18"/>
        </w:rPr>
        <w:t>En edificios cuya estructura o naturaleza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lo haga conveniente, el reglamento de propiedad horizontal puede prever la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existencia de sectores con independencia funcional o administrativa, en todo aquello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que no gravita sobre el edificio en general.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 xml:space="preserve">Cada sector puede tener una </w:t>
      </w:r>
      <w:proofErr w:type="spellStart"/>
      <w:r>
        <w:rPr>
          <w:rFonts w:ascii="AvenirLTStd-Light" w:hAnsi="AvenirLTStd-Light" w:cs="AvenirLTStd-Light"/>
          <w:color w:val="000000"/>
          <w:sz w:val="18"/>
          <w:szCs w:val="18"/>
        </w:rPr>
        <w:t>subasamblea</w:t>
      </w:r>
      <w:proofErr w:type="spellEnd"/>
      <w:r>
        <w:rPr>
          <w:rFonts w:ascii="AvenirLTStd-Light" w:hAnsi="AvenirLTStd-Light" w:cs="AvenirLTStd-Light"/>
          <w:color w:val="000000"/>
          <w:sz w:val="18"/>
          <w:szCs w:val="18"/>
        </w:rPr>
        <w:t>, cuyo funcionamiento y atribuciones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deben regularse especialmente y puede designarse a un subadministrador del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sector. En caso de conflicto entre los diversos sectores la asamblea resuelve en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definitiva.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Light" w:hAnsi="AvenirLTStd-Light" w:cs="AvenirLTStd-Light"/>
          <w:color w:val="000000"/>
          <w:sz w:val="18"/>
          <w:szCs w:val="18"/>
        </w:rPr>
        <w:t>Frente a terceros responde todo el consorcio sin tener en cuenta los diversos sectores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que lo integran.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hAnsi="AvenirLTStd-Light" w:cs="Calluna-Regular"/>
          <w:color w:val="4D4D4D"/>
          <w:sz w:val="20"/>
          <w:szCs w:val="20"/>
        </w:rPr>
      </w:pPr>
      <w:r>
        <w:rPr>
          <w:rFonts w:ascii="Calluna-Regular" w:eastAsia="Calluna-Regular" w:hAnsi="AvenirLTStd-Light" w:cs="Calluna-Regular"/>
          <w:color w:val="4D4D4D"/>
          <w:sz w:val="24"/>
          <w:szCs w:val="24"/>
        </w:rPr>
        <w:t>CAPITULO 9</w:t>
      </w:r>
      <w:r w:rsidR="00B8195D">
        <w:rPr>
          <w:rFonts w:ascii="Calluna-Regular" w:eastAsia="Calluna-Regular" w:hAnsi="AvenirLTStd-Light" w:cs="Calluna-Regular"/>
          <w:color w:val="4D4D4D"/>
          <w:sz w:val="24"/>
          <w:szCs w:val="24"/>
        </w:rPr>
        <w:t xml:space="preserve">: </w:t>
      </w:r>
      <w:r>
        <w:rPr>
          <w:rFonts w:ascii="Calluna-Regular" w:eastAsia="Calluna-Regular" w:hAnsi="AvenirLTStd-Light" w:cs="Calluna-Regular"/>
          <w:color w:val="4D4D4D"/>
          <w:sz w:val="20"/>
          <w:szCs w:val="20"/>
        </w:rPr>
        <w:t>Infracciones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hAnsi="AvenirLTStd-Light" w:cs="Calluna-Regular"/>
          <w:color w:val="4D4D4D"/>
          <w:sz w:val="20"/>
          <w:szCs w:val="20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  <w:r>
        <w:rPr>
          <w:rFonts w:ascii="AvenirLTStd-Medium" w:hAnsi="AvenirLTStd-Medium" w:cs="AvenirLTStd-Medium"/>
          <w:color w:val="4D4D4D"/>
          <w:sz w:val="18"/>
          <w:szCs w:val="18"/>
        </w:rPr>
        <w:t xml:space="preserve">ARTÍCULO 2069.- </w:t>
      </w:r>
      <w:r>
        <w:rPr>
          <w:rFonts w:ascii="AvenirLTStd-Medium" w:hAnsi="AvenirLTStd-Medium" w:cs="AvenirLTStd-Medium"/>
          <w:color w:val="4D4D4D"/>
          <w:sz w:val="19"/>
          <w:szCs w:val="19"/>
        </w:rPr>
        <w:t xml:space="preserve">Régimen. </w:t>
      </w:r>
      <w:r>
        <w:rPr>
          <w:rFonts w:ascii="AvenirLTStd-Light" w:hAnsi="AvenirLTStd-Light" w:cs="AvenirLTStd-Light"/>
          <w:color w:val="000000"/>
          <w:sz w:val="18"/>
          <w:szCs w:val="18"/>
        </w:rPr>
        <w:t>En caso de violación por un propietario u ocupante de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las prohibiciones establecidas en este Código o en el reglamento de propiedad horizontal,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y sin perjuicio de las demás acciones que corresponden, el consorcio o cualquier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propietario afectado tienen acción para hacer cesar la infracción, la que debe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sustanciarse por la vía procesal más breve de que dispone el ordenamiento local. Si el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infractor es un ocupante no propietario, puede ser desalojado en caso de reiteración</w:t>
      </w:r>
      <w:r w:rsidR="00B8195D">
        <w:rPr>
          <w:rFonts w:ascii="AvenirLTStd-Light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hAnsi="AvenirLTStd-Light" w:cs="AvenirLTStd-Light"/>
          <w:color w:val="000000"/>
          <w:sz w:val="18"/>
          <w:szCs w:val="18"/>
        </w:rPr>
        <w:t>de infracciones.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cs="Calluna-Regular"/>
          <w:color w:val="4D4D4D"/>
          <w:sz w:val="20"/>
          <w:szCs w:val="20"/>
        </w:rPr>
      </w:pPr>
      <w:r>
        <w:rPr>
          <w:rFonts w:ascii="Calluna-Regular" w:eastAsia="Calluna-Regular" w:cs="Calluna-Regular"/>
          <w:color w:val="4D4D4D"/>
          <w:sz w:val="24"/>
          <w:szCs w:val="24"/>
        </w:rPr>
        <w:t>CAPITULO 10</w:t>
      </w:r>
      <w:r w:rsidR="00B8195D">
        <w:rPr>
          <w:rFonts w:ascii="Calluna-Regular" w:eastAsia="Calluna-Regular" w:cs="Calluna-Regular"/>
          <w:color w:val="4D4D4D"/>
          <w:sz w:val="24"/>
          <w:szCs w:val="24"/>
        </w:rPr>
        <w:t xml:space="preserve">: </w:t>
      </w:r>
      <w:proofErr w:type="spellStart"/>
      <w:r w:rsidR="00B8195D">
        <w:rPr>
          <w:rFonts w:ascii="Calluna-Regular" w:eastAsia="Calluna-Regular" w:cs="Calluna-Regular"/>
          <w:color w:val="4D4D4D"/>
          <w:sz w:val="20"/>
          <w:szCs w:val="20"/>
        </w:rPr>
        <w:t>Prehorizontalidad</w:t>
      </w:r>
      <w:proofErr w:type="spellEnd"/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Calluna-Regular" w:eastAsia="Calluna-Regular" w:cs="Calluna-Regular"/>
          <w:color w:val="4D4D4D"/>
          <w:sz w:val="20"/>
          <w:szCs w:val="20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Medium" w:eastAsia="Calluna-Regular" w:hAnsi="AvenirLTStd-Medium" w:cs="AvenirLTStd-Medium"/>
          <w:color w:val="4D4D4D"/>
          <w:sz w:val="19"/>
          <w:szCs w:val="19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2070.-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>Contratos anteriores a la constitución de la propiedad horizontal.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Los contratos sobre unidades funcionales celebrados antes de la constitución de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la propiedad horizontal están incluidos en las disposiciones de este Capítulo.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2071.-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Seguro obligatorio.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Para poder celebrar contratos sobre unidades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construidas o proyectadas bajo el régimen de propiedad horizontal, el titular del dominio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del inmueble debe constituir un seguro a favor del adquirente, para el riesgo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del fracaso de la operación de acuerdo a lo convenido por cualquier razón, y cuya cobertura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comprenda el reintegro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lastRenderedPageBreak/>
        <w:t>de las cuotas abonadas con más un interés retributivo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o, en su caso, la liberación de todos los gravámenes que el adquirente no asume en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contrato preliminar.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El incumplimiento de la obligación impuesta en este artículo priva al titular del dominio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de todo derecho contra el adquirente a menos que cumpla íntegramente con sus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obligaciones, pero no priva al adquirente de sus derechos contra el enajenante.</w:t>
      </w:r>
    </w:p>
    <w:p w:rsidR="00B8195D" w:rsidRDefault="00B8195D" w:rsidP="000928A1">
      <w:pPr>
        <w:autoSpaceDE w:val="0"/>
        <w:autoSpaceDN w:val="0"/>
        <w:adjustRightInd w:val="0"/>
        <w:spacing w:after="0" w:line="240" w:lineRule="auto"/>
        <w:rPr>
          <w:rFonts w:ascii="AvenirLTStd-Medium" w:eastAsia="Calluna-Regular" w:hAnsi="AvenirLTStd-Medium" w:cs="AvenirLTStd-Medium"/>
          <w:color w:val="4D4D4D"/>
          <w:sz w:val="18"/>
          <w:szCs w:val="18"/>
        </w:rPr>
      </w:pP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AvenirLTStd-Medium" w:eastAsia="Calluna-Regular" w:hAnsi="AvenirLTStd-Medium" w:cs="AvenirLTStd-Medium"/>
          <w:color w:val="4D4D4D"/>
          <w:sz w:val="18"/>
          <w:szCs w:val="18"/>
        </w:rPr>
        <w:t xml:space="preserve">ARTÍCULO 2072.- </w:t>
      </w:r>
      <w:r>
        <w:rPr>
          <w:rFonts w:ascii="AvenirLTStd-Medium" w:eastAsia="Calluna-Regular" w:hAnsi="AvenirLTStd-Medium" w:cs="AvenirLTStd-Medium"/>
          <w:color w:val="4D4D4D"/>
          <w:sz w:val="19"/>
          <w:szCs w:val="19"/>
        </w:rPr>
        <w:t xml:space="preserve">Exclusiones.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Están excluidos los contratos siguientes: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a.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aquellos en los que la constitución de la propiedad horizontal resulta de la partición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o liquidación de comuniones de cosas o bienes, o de la liquidación de personas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jurídicas;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b.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los que versan sobre inmuebles del dominio privado del Estado;</w:t>
      </w:r>
    </w:p>
    <w:p w:rsidR="000928A1" w:rsidRDefault="000928A1" w:rsidP="000928A1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  <w:r>
        <w:rPr>
          <w:rFonts w:ascii="Calluna-Regular" w:eastAsia="Calluna-Regular" w:cs="Calluna-Regular"/>
          <w:color w:val="4D4D4D"/>
          <w:sz w:val="20"/>
          <w:szCs w:val="20"/>
        </w:rPr>
        <w:t xml:space="preserve">c.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los concernientes a construcciones realizadas con financiamiento o fideicomiso de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organismos oficiales o de entidades financieras especialmente calificadas por el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organismo de control, si de sus cláusulas resulta que los contratos definitivos con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los adquirentes deben ser celebrados por el ente financiador o fiduciario, a quien</w:t>
      </w:r>
      <w:r w:rsidR="00B8195D">
        <w:rPr>
          <w:rFonts w:ascii="AvenirLTStd-Light" w:eastAsia="Calluna-Regular" w:hAnsi="AvenirLTStd-Light" w:cs="AvenirLTStd-Light"/>
          <w:color w:val="000000"/>
          <w:sz w:val="18"/>
          <w:szCs w:val="18"/>
        </w:rPr>
        <w:t xml:space="preserve"> </w:t>
      </w:r>
      <w:r>
        <w:rPr>
          <w:rFonts w:ascii="AvenirLTStd-Light" w:eastAsia="Calluna-Regular" w:hAnsi="AvenirLTStd-Light" w:cs="AvenirLTStd-Light"/>
          <w:color w:val="000000"/>
          <w:sz w:val="18"/>
          <w:szCs w:val="18"/>
        </w:rPr>
        <w:t>los propietarios deben otorgarle poder irrevocable a ese fin.</w:t>
      </w:r>
    </w:p>
    <w:p w:rsidR="005127A8" w:rsidRPr="000928A1" w:rsidRDefault="005127A8" w:rsidP="005127A8">
      <w:pPr>
        <w:autoSpaceDE w:val="0"/>
        <w:autoSpaceDN w:val="0"/>
        <w:adjustRightInd w:val="0"/>
        <w:spacing w:after="0" w:line="240" w:lineRule="auto"/>
        <w:rPr>
          <w:rFonts w:ascii="AvenirLTStd-Light" w:eastAsia="Calluna-Regular" w:hAnsi="AvenirLTStd-Light" w:cs="AvenirLTStd-Light"/>
          <w:color w:val="000000"/>
          <w:sz w:val="18"/>
          <w:szCs w:val="18"/>
        </w:rPr>
      </w:pPr>
    </w:p>
    <w:sectPr w:rsidR="005127A8" w:rsidRPr="000928A1" w:rsidSect="000928A1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luna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venirLTStd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A1"/>
    <w:rsid w:val="000928A1"/>
    <w:rsid w:val="003B248E"/>
    <w:rsid w:val="005127A8"/>
    <w:rsid w:val="00B8195D"/>
    <w:rsid w:val="00BE0FA2"/>
    <w:rsid w:val="00D1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91FCC5-6A7F-44C2-B7CE-41090969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3679</Words>
  <Characters>20236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 FDZ</Company>
  <LinksUpToDate>false</LinksUpToDate>
  <CharactersWithSpaces>23868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</dc:creator>
  <cp:keywords/>
  <dc:description/>
  <cp:lastModifiedBy>Flia</cp:lastModifiedBy>
  <cp:revision>2</cp:revision>
  <dcterms:created xsi:type="dcterms:W3CDTF">2016-08-09T18:23:00Z</dcterms:created>
  <dcterms:modified xsi:type="dcterms:W3CDTF">2016-08-09T18:57:00Z</dcterms:modified>
</cp:coreProperties>
</file>