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cs="Times New Roman"/>
          <w:b/>
          <w:bCs/>
        </w:rPr>
      </w:pPr>
      <w:r>
        <w:rPr/>
        <w:t>TITOLO</w:t>
      </w:r>
    </w:p>
    <w:p>
      <w:pPr>
        <w:pStyle w:val="BodyText"/>
        <w:rPr>
          <w:rFonts w:ascii="Times New Roman" w:hAnsi="Times New Roman" w:cs="Times New Roman"/>
          <w:b/>
          <w:bCs/>
        </w:rPr>
      </w:pPr>
      <w:r>
        <w:rPr/>
        <w:t>Democrazia debole versus collaborazione e condivisione</w:t>
      </w:r>
    </w:p>
    <w:p>
      <w:pPr>
        <w:pStyle w:val="BodyText"/>
        <w:rPr>
          <w:rFonts w:ascii="Times New Roman" w:hAnsi="Times New Roman" w:cs="Times New Roman"/>
          <w:b/>
          <w:bCs/>
        </w:rPr>
      </w:pPr>
      <w:r>
        <w:rPr/>
        <w:t>SOTTOTITOLO</w:t>
      </w:r>
    </w:p>
    <w:p>
      <w:pPr>
        <w:pStyle w:val="BodyText"/>
        <w:rPr/>
      </w:pPr>
      <w:r>
        <w:rPr/>
        <w:t>"POLITICS" focalizzata sul consenso -"POLICY" basata sulla collaborazione tra cittadini e amministrazioni</w:t>
      </w:r>
    </w:p>
    <w:p>
      <w:pPr>
        <w:pStyle w:val="BodyText"/>
        <w:rPr/>
      </w:pPr>
      <w:r>
        <w:rPr/>
        <w:t>Le ragioni della perdita del consenso della politica a vantaggio del volontariato</w:t>
      </w:r>
    </w:p>
    <w:p>
      <w:pPr>
        <w:pStyle w:val="BodyText"/>
        <w:rPr>
          <w:rFonts w:ascii="Times New Roman" w:hAnsi="Times New Roman" w:cs="Times New Roman"/>
          <w:b/>
          <w:bCs/>
        </w:rPr>
      </w:pPr>
      <w:r>
        <w:rPr/>
        <w:t>AUTORE</w:t>
      </w:r>
    </w:p>
    <w:p>
      <w:pPr>
        <w:pStyle w:val="BodyText"/>
        <w:rPr>
          <w:rFonts w:ascii="Times New Roman" w:hAnsi="Times New Roman" w:cs="Times New Roman"/>
          <w:b/>
          <w:bCs/>
        </w:rPr>
      </w:pPr>
      <w:r>
        <w:rPr/>
        <w:t>Raimondo Raimondi</w:t>
      </w:r>
    </w:p>
    <w:p>
      <w:pPr>
        <w:pStyle w:val="BodyText"/>
        <w:rPr/>
      </w:pPr>
      <w:r>
        <w:rPr/>
      </w:r>
    </w:p>
    <w:p>
      <w:pPr>
        <w:pStyle w:val="BodyText"/>
        <w:rPr>
          <w:rFonts w:ascii="Times New Roman" w:hAnsi="Times New Roman" w:cs="Times New Roman"/>
          <w:b/>
          <w:bCs/>
        </w:rPr>
      </w:pPr>
      <w:r>
        <w:rPr/>
        <w:t>DATA</w:t>
      </w:r>
    </w:p>
    <w:p>
      <w:pPr>
        <w:pStyle w:val="BodyText"/>
        <w:rPr>
          <w:rFonts w:ascii="Times New Roman" w:hAnsi="Times New Roman" w:cs="Times New Roman"/>
          <w:b/>
          <w:bCs/>
        </w:rPr>
      </w:pPr>
      <w:r>
        <w:rPr/>
        <w:t>10-12-2024</w:t>
      </w:r>
    </w:p>
    <w:p>
      <w:pPr>
        <w:pStyle w:val="BodyText"/>
        <w:rPr/>
      </w:pPr>
      <w:r>
        <w:rPr/>
      </w:r>
    </w:p>
    <w:p>
      <w:pPr>
        <w:pStyle w:val="BodyText"/>
        <w:rPr>
          <w:rFonts w:ascii="Times New Roman" w:hAnsi="Times New Roman" w:cs="Times New Roman"/>
          <w:b/>
          <w:bCs/>
        </w:rPr>
      </w:pPr>
      <w:r>
        <w:rPr/>
        <w:t>ARTICOLO</w:t>
      </w:r>
    </w:p>
    <w:p>
      <w:pPr>
        <w:pStyle w:val="BodyText"/>
        <w:rPr/>
      </w:pPr>
      <w:r>
        <w:rPr/>
      </w:r>
    </w:p>
    <w:p>
      <w:pPr>
        <w:pStyle w:val="Heading3"/>
        <w:rPr/>
      </w:pPr>
      <w:r>
        <w:rPr/>
        <w:t>Democrazia debole versus collaborazione e condivisione</w:t>
      </w:r>
    </w:p>
    <w:p>
      <w:pPr>
        <w:pStyle w:val="BodyText"/>
        <w:rPr/>
      </w:pPr>
      <w:r>
        <w:rPr/>
      </w:r>
    </w:p>
    <w:p>
      <w:pPr>
        <w:pStyle w:val="BodyText"/>
        <w:rPr>
          <w:rFonts w:ascii="Times New Roman" w:hAnsi="Times New Roman" w:cs="Times New Roman"/>
        </w:rPr>
      </w:pPr>
      <w:r>
        <w:rPr/>
        <w:t>Ad ogni elezione, i politici si stracciano le vesti per il progressivo aumento dei non votanti. Poi</w:t>
      </w:r>
    </w:p>
    <w:p>
      <w:pPr>
        <w:pStyle w:val="BodyText"/>
        <w:rPr>
          <w:rFonts w:ascii="Times New Roman" w:hAnsi="Times New Roman" w:cs="Times New Roman"/>
        </w:rPr>
      </w:pPr>
      <w:r>
        <w:rPr/>
        <w:t>passano a contare gli eletti e a valutare le percentuali di voti presi e tutto torna come prima fino alla</w:t>
      </w:r>
    </w:p>
    <w:p>
      <w:pPr>
        <w:pStyle w:val="BodyText"/>
        <w:rPr>
          <w:rFonts w:ascii="Times New Roman" w:hAnsi="Times New Roman" w:cs="Times New Roman"/>
        </w:rPr>
      </w:pPr>
      <w:r>
        <w:rPr/>
        <w:t>successiva elezione. Ma, al di là di queste periodiche geremiadi, la domanda è: la democrazia è più debole o sta solo cambiando? Vediamo alcuni dati:</w:t>
      </w:r>
    </w:p>
    <w:p>
      <w:pPr>
        <w:pStyle w:val="BodyText"/>
        <w:rPr/>
      </w:pPr>
      <w:r>
        <w:rPr/>
      </w:r>
    </w:p>
    <w:tbl>
      <w:tblPr>
        <w:tblStyle w:val="Grigliatabella"/>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232"/>
        <w:gridCol w:w="709"/>
        <w:gridCol w:w="848"/>
        <w:gridCol w:w="853"/>
        <w:gridCol w:w="851"/>
      </w:tblGrid>
      <w:tr>
        <w:trPr/>
        <w:tc>
          <w:tcPr>
            <w:tcW w:w="6232" w:type="dxa"/>
            <w:tcBorders/>
          </w:tcPr>
          <w:p>
            <w:pPr>
              <w:pStyle w:val="BodyText"/>
              <w:spacing w:before="0" w:after="140"/>
              <w:rPr>
                <w:rFonts w:ascii="Times New Roman" w:hAnsi="Times New Roman" w:cs="Times New Roman"/>
                <w:sz w:val="20"/>
                <w:szCs w:val="20"/>
              </w:rPr>
            </w:pPr>
            <w:r>
              <w:rPr/>
              <w:t>Da: RAPPORTO EURISPES 2023: LA FIDUCIA DEGLI ITALIANI (1)</w:t>
            </w:r>
          </w:p>
        </w:tc>
        <w:tc>
          <w:tcPr>
            <w:tcW w:w="709" w:type="dxa"/>
            <w:tcBorders/>
          </w:tcPr>
          <w:p>
            <w:pPr>
              <w:pStyle w:val="BodyText"/>
              <w:spacing w:before="0" w:after="140"/>
              <w:rPr>
                <w:rFonts w:ascii="Times New Roman" w:hAnsi="Times New Roman" w:cs="Times New Roman"/>
              </w:rPr>
            </w:pPr>
            <w:r>
              <w:rPr/>
              <w:t>2019</w:t>
            </w:r>
          </w:p>
        </w:tc>
        <w:tc>
          <w:tcPr>
            <w:tcW w:w="848" w:type="dxa"/>
            <w:tcBorders/>
          </w:tcPr>
          <w:p>
            <w:pPr>
              <w:pStyle w:val="BodyText"/>
              <w:spacing w:before="0" w:after="140"/>
              <w:rPr>
                <w:rFonts w:ascii="Times New Roman" w:hAnsi="Times New Roman" w:cs="Times New Roman"/>
              </w:rPr>
            </w:pPr>
            <w:r>
              <w:rPr/>
              <w:t>2020</w:t>
            </w:r>
          </w:p>
        </w:tc>
        <w:tc>
          <w:tcPr>
            <w:tcW w:w="853" w:type="dxa"/>
            <w:tcBorders/>
          </w:tcPr>
          <w:p>
            <w:pPr>
              <w:pStyle w:val="BodyText"/>
              <w:spacing w:before="0" w:after="140"/>
              <w:rPr>
                <w:rFonts w:ascii="Times New Roman" w:hAnsi="Times New Roman" w:cs="Times New Roman"/>
              </w:rPr>
            </w:pPr>
            <w:r>
              <w:rPr/>
              <w:t>2022</w:t>
            </w:r>
          </w:p>
        </w:tc>
        <w:tc>
          <w:tcPr>
            <w:tcW w:w="851" w:type="dxa"/>
            <w:tcBorders/>
          </w:tcPr>
          <w:p>
            <w:pPr>
              <w:pStyle w:val="BodyText"/>
              <w:spacing w:before="0" w:after="140"/>
              <w:rPr>
                <w:rFonts w:ascii="Times New Roman" w:hAnsi="Times New Roman" w:cs="Times New Roman"/>
              </w:rPr>
            </w:pPr>
            <w:r>
              <w:rPr/>
              <w:t>2023</w:t>
            </w:r>
          </w:p>
        </w:tc>
      </w:tr>
      <w:tr>
        <w:trPr/>
        <w:tc>
          <w:tcPr>
            <w:tcW w:w="6232" w:type="dxa"/>
            <w:tcBorders/>
          </w:tcPr>
          <w:p>
            <w:pPr>
              <w:pStyle w:val="BodyText"/>
              <w:spacing w:before="0" w:after="140"/>
              <w:rPr>
                <w:rFonts w:ascii="Times New Roman" w:hAnsi="Times New Roman" w:cs="Times New Roman"/>
              </w:rPr>
            </w:pPr>
            <w:r>
              <w:rPr/>
              <w:t>Organizzazioni di volontariato</w:t>
            </w:r>
          </w:p>
        </w:tc>
        <w:tc>
          <w:tcPr>
            <w:tcW w:w="709" w:type="dxa"/>
            <w:tcBorders/>
          </w:tcPr>
          <w:p>
            <w:pPr>
              <w:pStyle w:val="BodyText"/>
              <w:spacing w:before="0" w:after="140"/>
              <w:rPr>
                <w:rFonts w:ascii="Times New Roman" w:hAnsi="Times New Roman" w:cs="Times New Roman"/>
              </w:rPr>
            </w:pPr>
            <w:r>
              <w:rPr/>
              <w:t>64</w:t>
            </w:r>
          </w:p>
        </w:tc>
        <w:tc>
          <w:tcPr>
            <w:tcW w:w="848" w:type="dxa"/>
            <w:tcBorders/>
          </w:tcPr>
          <w:p>
            <w:pPr>
              <w:pStyle w:val="BodyText"/>
              <w:spacing w:before="0" w:after="140"/>
              <w:rPr>
                <w:rFonts w:ascii="Times New Roman" w:hAnsi="Times New Roman" w:cs="Times New Roman"/>
              </w:rPr>
            </w:pPr>
            <w:r>
              <w:rPr/>
              <w:t>70</w:t>
            </w:r>
          </w:p>
        </w:tc>
        <w:tc>
          <w:tcPr>
            <w:tcW w:w="853" w:type="dxa"/>
            <w:tcBorders/>
          </w:tcPr>
          <w:p>
            <w:pPr>
              <w:pStyle w:val="BodyText"/>
              <w:spacing w:before="0" w:after="140"/>
              <w:rPr>
                <w:rFonts w:ascii="Times New Roman" w:hAnsi="Times New Roman" w:cs="Times New Roman"/>
              </w:rPr>
            </w:pPr>
            <w:r>
              <w:rPr/>
              <w:t>71</w:t>
            </w:r>
          </w:p>
        </w:tc>
        <w:tc>
          <w:tcPr>
            <w:tcW w:w="851" w:type="dxa"/>
            <w:tcBorders/>
          </w:tcPr>
          <w:p>
            <w:pPr>
              <w:pStyle w:val="BodyText"/>
              <w:spacing w:before="0" w:after="140"/>
              <w:rPr>
                <w:rFonts w:ascii="Times New Roman" w:hAnsi="Times New Roman" w:cs="Times New Roman"/>
              </w:rPr>
            </w:pPr>
            <w:r>
              <w:rPr/>
              <w:t>61</w:t>
            </w:r>
          </w:p>
        </w:tc>
      </w:tr>
      <w:tr>
        <w:trPr/>
        <w:tc>
          <w:tcPr>
            <w:tcW w:w="6232" w:type="dxa"/>
            <w:tcBorders/>
          </w:tcPr>
          <w:p>
            <w:pPr>
              <w:pStyle w:val="BodyText"/>
              <w:spacing w:before="0" w:after="140"/>
              <w:rPr>
                <w:rFonts w:ascii="Times New Roman" w:hAnsi="Times New Roman" w:cs="Times New Roman"/>
              </w:rPr>
            </w:pPr>
            <w:r>
              <w:rPr/>
              <w:t>Partiti</w:t>
            </w:r>
          </w:p>
        </w:tc>
        <w:tc>
          <w:tcPr>
            <w:tcW w:w="709" w:type="dxa"/>
            <w:tcBorders/>
          </w:tcPr>
          <w:p>
            <w:pPr>
              <w:pStyle w:val="BodyText"/>
              <w:spacing w:before="0" w:after="140"/>
              <w:rPr>
                <w:rFonts w:ascii="Times New Roman" w:hAnsi="Times New Roman" w:cs="Times New Roman"/>
              </w:rPr>
            </w:pPr>
            <w:r>
              <w:rPr/>
              <w:t>27</w:t>
            </w:r>
          </w:p>
        </w:tc>
        <w:tc>
          <w:tcPr>
            <w:tcW w:w="848" w:type="dxa"/>
            <w:tcBorders/>
          </w:tcPr>
          <w:p>
            <w:pPr>
              <w:pStyle w:val="BodyText"/>
              <w:spacing w:before="0" w:after="140"/>
              <w:rPr>
                <w:rFonts w:ascii="Times New Roman" w:hAnsi="Times New Roman" w:cs="Times New Roman"/>
              </w:rPr>
            </w:pPr>
            <w:r>
              <w:rPr/>
              <w:t>27</w:t>
            </w:r>
          </w:p>
        </w:tc>
        <w:tc>
          <w:tcPr>
            <w:tcW w:w="853" w:type="dxa"/>
            <w:tcBorders/>
          </w:tcPr>
          <w:p>
            <w:pPr>
              <w:pStyle w:val="BodyText"/>
              <w:spacing w:before="0" w:after="140"/>
              <w:rPr>
                <w:rFonts w:ascii="Times New Roman" w:hAnsi="Times New Roman" w:cs="Times New Roman"/>
              </w:rPr>
            </w:pPr>
            <w:r>
              <w:rPr/>
              <w:t>29</w:t>
            </w:r>
          </w:p>
        </w:tc>
        <w:tc>
          <w:tcPr>
            <w:tcW w:w="851" w:type="dxa"/>
            <w:tcBorders/>
          </w:tcPr>
          <w:p>
            <w:pPr>
              <w:pStyle w:val="BodyText"/>
              <w:spacing w:before="0" w:after="140"/>
              <w:rPr>
                <w:rFonts w:ascii="Times New Roman" w:hAnsi="Times New Roman" w:cs="Times New Roman"/>
              </w:rPr>
            </w:pPr>
            <w:r>
              <w:rPr/>
              <w:t>32</w:t>
            </w:r>
          </w:p>
        </w:tc>
      </w:tr>
    </w:tbl>
    <w:p>
      <w:pPr>
        <w:pStyle w:val="BodyText"/>
        <w:rPr/>
      </w:pPr>
      <w:r>
        <w:rPr/>
      </w:r>
    </w:p>
    <w:p>
      <w:pPr>
        <w:pStyle w:val="BodyText"/>
        <w:rPr>
          <w:rFonts w:ascii="Times New Roman" w:hAnsi="Times New Roman" w:cs="Times New Roman"/>
        </w:rPr>
      </w:pPr>
      <w:r>
        <w:rPr/>
        <w:t>La “disaffezione” al voto, sperimentata nelle ultime tornate elettorali, è coerente con lo specchietto</w:t>
      </w:r>
    </w:p>
    <w:p>
      <w:pPr>
        <w:pStyle w:val="BodyText"/>
        <w:rPr>
          <w:rFonts w:ascii="Times New Roman" w:hAnsi="Times New Roman" w:cs="Times New Roman"/>
        </w:rPr>
      </w:pPr>
      <w:r>
        <w:rPr/>
        <w:t>che mostra una netta separazione fra organizzazioni del volontariato e Partiti: le prime doppiano i secondi.</w:t>
      </w:r>
    </w:p>
    <w:p>
      <w:pPr>
        <w:pStyle w:val="BodyText"/>
        <w:rPr>
          <w:rFonts w:ascii="Times New Roman" w:hAnsi="Times New Roman" w:cs="Times New Roman"/>
        </w:rPr>
      </w:pPr>
      <w:r>
        <w:rPr/>
        <w:t>Certo sarebbe bello avere valori alti per tutti, ma così non è: i cittadini hanno molta più fiducia nella</w:t>
      </w:r>
    </w:p>
    <w:p>
      <w:pPr>
        <w:pStyle w:val="BodyText"/>
        <w:rPr>
          <w:rFonts w:ascii="Times New Roman" w:hAnsi="Times New Roman" w:cs="Times New Roman"/>
        </w:rPr>
      </w:pPr>
      <w:r>
        <w:rPr/>
        <w:t>partecipazione diretta alla risoluzione dei problemi – è questo il DNA del volontariato – piuttosto</w:t>
      </w:r>
    </w:p>
    <w:p>
      <w:pPr>
        <w:pStyle w:val="BodyText"/>
        <w:rPr>
          <w:rFonts w:ascii="Times New Roman" w:hAnsi="Times New Roman" w:cs="Times New Roman"/>
        </w:rPr>
      </w:pPr>
      <w:r>
        <w:rPr/>
        <w:t>che nella delega a qualcuno per risolverli – è questo il DNA dei partiti.</w:t>
      </w:r>
    </w:p>
    <w:p>
      <w:pPr>
        <w:pStyle w:val="BodyText"/>
        <w:rPr>
          <w:rFonts w:ascii="Times New Roman" w:hAnsi="Times New Roman" w:cs="Times New Roman"/>
        </w:rPr>
      </w:pPr>
      <w:r>
        <w:rPr/>
        <w:t>La lingua inglese possiede due termini: politics e policy:</w:t>
      </w:r>
    </w:p>
    <w:p>
      <w:pPr>
        <w:pStyle w:val="BodyText"/>
        <w:numPr>
          <w:ilvl w:val="0"/>
          <w:numId w:val="2"/>
        </w:numPr>
        <w:rPr>
          <w:rFonts w:ascii="Times New Roman" w:hAnsi="Times New Roman" w:cs="Times New Roman"/>
        </w:rPr>
      </w:pPr>
      <w:r>
        <w:rPr/>
        <w:t>politics è la ricerca del consenso da parte dei partiti per attuare programmi basati sui rapporti di forza derivanti dal consenso acquisito. Esempio: il ponte sullo stretto di Messina sarà costruito in virtù del consenso popolare dato dai votanti al partito o alla coalizione di partiti che lo ha inserito nel programma elettorale;</w:t>
      </w:r>
    </w:p>
    <w:p>
      <w:pPr>
        <w:pStyle w:val="BodyText"/>
        <w:numPr>
          <w:ilvl w:val="0"/>
          <w:numId w:val="2"/>
        </w:numPr>
        <w:rPr>
          <w:rFonts w:ascii="Times New Roman" w:hAnsi="Times New Roman" w:cs="Times New Roman"/>
        </w:rPr>
      </w:pPr>
      <w:r>
        <w:rPr/>
        <w:t>policy è la collaborazione tra Pubblica Amministrazione e cittadini per trovare e attuare</w:t>
      </w:r>
    </w:p>
    <w:p>
      <w:pPr>
        <w:pStyle w:val="BodyText"/>
        <w:rPr>
          <w:rFonts w:ascii="Times New Roman" w:hAnsi="Times New Roman" w:cs="Times New Roman"/>
        </w:rPr>
      </w:pPr>
      <w:r>
        <w:rPr/>
        <w:t>soluzioni condivise a problemi complessi. Esempio; il “percorso partecipato con</w:t>
      </w:r>
    </w:p>
    <w:p>
      <w:pPr>
        <w:pStyle w:val="BodyText"/>
        <w:rPr>
          <w:rFonts w:ascii="Times New Roman" w:hAnsi="Times New Roman" w:cs="Times New Roman"/>
        </w:rPr>
      </w:pPr>
      <w:r>
        <w:rPr/>
        <w:t>le associazioni territoriali di rappresentanza” a Viterbo per l’eliminazione delle barriere</w:t>
      </w:r>
    </w:p>
    <w:p>
      <w:pPr>
        <w:pStyle w:val="BodyText"/>
        <w:rPr>
          <w:rFonts w:ascii="Times New Roman" w:hAnsi="Times New Roman" w:cs="Times New Roman"/>
        </w:rPr>
      </w:pPr>
      <w:r>
        <w:rPr/>
        <w:t>architettoniche (Deliberazione Giunta Comunale, n. 49 del 15-02-2024).</w:t>
      </w:r>
    </w:p>
    <w:p>
      <w:pPr>
        <w:pStyle w:val="BodyText"/>
        <w:rPr>
          <w:rFonts w:ascii="Times New Roman" w:hAnsi="Times New Roman" w:cs="Times New Roman"/>
        </w:rPr>
      </w:pPr>
      <w:r>
        <w:rPr/>
        <w:t>Non c’è niente di antidemocratico né nella politics né nella policy. Va anche detto che se una decresce e l’altra cresce, non è detto che decresca complessivamente la democrazia se non decresce la somma delle due componenti. Certo, se poi a votare va meno del 50% degli aventi diritto, un problema si pone per la politics e non solo.</w:t>
      </w:r>
    </w:p>
    <w:p>
      <w:pPr>
        <w:pStyle w:val="BodyText"/>
        <w:rPr>
          <w:rFonts w:ascii="Times New Roman" w:hAnsi="Times New Roman" w:cs="Times New Roman"/>
        </w:rPr>
      </w:pPr>
      <w:r>
        <w:rPr/>
        <w:t>La nostra Costituzione fu scritta da donne e uomini che pagarono caro essersi opposti al partito fascista che negava il diritto all’esistenza dei partiti. La loro esperienza è alla base dell’articolo 49 della Costituzione: “Tutti i cittadini hanno diritto di associarsi liberamente in partiti per concorrere con metodo democratico a determinare la politica nazionale”.</w:t>
      </w:r>
    </w:p>
    <w:p>
      <w:pPr>
        <w:pStyle w:val="BodyText"/>
        <w:rPr>
          <w:rFonts w:ascii="Times New Roman" w:hAnsi="Times New Roman" w:cs="Times New Roman"/>
        </w:rPr>
      </w:pPr>
      <w:r>
        <w:rPr/>
        <w:t>I costituenti erano anche saggi, non limitarono la sfera della democrazia all’appartenenza a un partito, e scrissero l’art. 18: “I cittadini hanno diritto di associarsi liberamente, senza autorizzazione, per fini che non sono vietati ai singoli dalla legge penale”.</w:t>
      </w:r>
    </w:p>
    <w:p>
      <w:pPr>
        <w:pStyle w:val="BodyText"/>
        <w:rPr>
          <w:rFonts w:ascii="Times New Roman" w:hAnsi="Times New Roman" w:cs="Times New Roman"/>
        </w:rPr>
      </w:pPr>
      <w:r>
        <w:rPr/>
        <w:t>L’enfasi dell’agire democratico per decenni cadde sull’art. 49 fino al punto da far ritenere la democrazia appannaggio dei partiti: una componente della democrazia prevaleva, almeno</w:t>
      </w:r>
    </w:p>
    <w:p>
      <w:pPr>
        <w:pStyle w:val="BodyText"/>
        <w:rPr>
          <w:rFonts w:ascii="Times New Roman" w:hAnsi="Times New Roman" w:cs="Times New Roman"/>
        </w:rPr>
      </w:pPr>
      <w:r>
        <w:rPr/>
        <w:t>nell’immaginario, sull’altra; la politics prevaleva sulla policy.</w:t>
      </w:r>
    </w:p>
    <w:p>
      <w:pPr>
        <w:pStyle w:val="BodyText"/>
        <w:rPr>
          <w:rFonts w:ascii="Times New Roman" w:hAnsi="Times New Roman" w:cs="Times New Roman"/>
        </w:rPr>
      </w:pPr>
      <w:r>
        <w:rPr/>
        <w:t>Lo specchietto di sopra evidenzia che il panorama è cambiato. Il recente art. 118 della Costituzione ne prende atto: “Stato, Regioni, Città metropolitane, Province e Comuni favoriscono l'autonoma iniziativa dei cittadini, singoli e associati, per lo svolgimento di attività di interesse generale, sulla base del principio di sussidiarietà.”</w:t>
      </w:r>
    </w:p>
    <w:p>
      <w:pPr>
        <w:pStyle w:val="BodyText"/>
        <w:rPr>
          <w:rFonts w:ascii="Times New Roman" w:hAnsi="Times New Roman" w:cs="Times New Roman"/>
        </w:rPr>
      </w:pPr>
      <w:r>
        <w:rPr/>
        <w:t>L’art. 118 è una rivoluzione copernicana: la democrazia non ruota più attorno al sistema dei partiti,</w:t>
      </w:r>
    </w:p>
    <w:p>
      <w:pPr>
        <w:pStyle w:val="BodyText"/>
        <w:rPr>
          <w:rFonts w:ascii="Times New Roman" w:hAnsi="Times New Roman" w:cs="Times New Roman"/>
        </w:rPr>
      </w:pPr>
      <w:r>
        <w:rPr/>
        <w:t>ma il sistema dei partiti è uno dei pianeti che ruota attorno al sole della democrazia assieme all’</w:t>
      </w:r>
    </w:p>
    <w:p>
      <w:pPr>
        <w:pStyle w:val="BodyText"/>
        <w:rPr>
          <w:rFonts w:ascii="Times New Roman" w:hAnsi="Times New Roman" w:cs="Times New Roman"/>
        </w:rPr>
      </w:pPr>
      <w:r>
        <w:rPr/>
        <w:t>“</w:t>
      </w:r>
      <w:r>
        <w:rPr/>
        <w:t>autonoma iniziativa dei cittadini, singoli e associati, per lo svolgimento di attività di interesse</w:t>
      </w:r>
    </w:p>
    <w:p>
      <w:pPr>
        <w:pStyle w:val="BodyText"/>
        <w:rPr>
          <w:rFonts w:ascii="Times New Roman" w:hAnsi="Times New Roman" w:cs="Times New Roman"/>
        </w:rPr>
      </w:pPr>
      <w:r>
        <w:rPr/>
        <w:t>generale, sulla base del principio di sussidiarietà.”.</w:t>
      </w:r>
    </w:p>
    <w:p>
      <w:pPr>
        <w:pStyle w:val="BodyText"/>
        <w:rPr>
          <w:rFonts w:ascii="Times New Roman" w:hAnsi="Times New Roman" w:cs="Times New Roman"/>
        </w:rPr>
      </w:pPr>
      <w:r>
        <w:rPr/>
        <w:t>“</w:t>
      </w:r>
      <w:r>
        <w:rPr/>
        <w:t>Autonoma iniziativa”, “cittadini singoli o associati”, “interesse generale”, “principio di</w:t>
      </w:r>
    </w:p>
    <w:p>
      <w:pPr>
        <w:pStyle w:val="BodyText"/>
        <w:rPr>
          <w:rFonts w:ascii="Times New Roman" w:hAnsi="Times New Roman" w:cs="Times New Roman"/>
        </w:rPr>
      </w:pPr>
      <w:r>
        <w:rPr/>
        <w:t>sussidiarietà”: sono espressioni dell’universo della policy, sono tutte espressioni coerenti con il</w:t>
      </w:r>
    </w:p>
    <w:p>
      <w:pPr>
        <w:pStyle w:val="BodyText"/>
        <w:rPr>
          <w:rFonts w:ascii="Times New Roman" w:hAnsi="Times New Roman" w:cs="Times New Roman"/>
        </w:rPr>
      </w:pPr>
      <w:r>
        <w:rPr/>
        <w:t>mondo del volontariato.</w:t>
      </w:r>
    </w:p>
    <w:p>
      <w:pPr>
        <w:pStyle w:val="BodyText"/>
        <w:rPr>
          <w:rFonts w:ascii="Times New Roman" w:hAnsi="Times New Roman" w:cs="Times New Roman"/>
        </w:rPr>
      </w:pPr>
      <w:r>
        <w:rPr/>
        <w:t>E, in effetti, l’art. 118 è il fondamento costituzionale di un corpus organico di leggi, regolamenti, linee guida, sentenze, che sostanzia e valorizza sul piano giuridico il mondo del volontariato.</w:t>
      </w:r>
    </w:p>
    <w:p>
      <w:pPr>
        <w:pStyle w:val="BodyText"/>
        <w:rPr>
          <w:rFonts w:ascii="Times New Roman" w:hAnsi="Times New Roman" w:cs="Times New Roman"/>
        </w:rPr>
      </w:pPr>
      <w:r>
        <w:rPr/>
        <w:t>Il decreto 117/17 (noto come Codice del Terzo Settore) è parte fondamentale di tale corpus. Esso</w:t>
      </w:r>
    </w:p>
    <w:p>
      <w:pPr>
        <w:pStyle w:val="BodyText"/>
        <w:rPr>
          <w:rFonts w:ascii="Times New Roman" w:hAnsi="Times New Roman" w:cs="Times New Roman"/>
        </w:rPr>
      </w:pPr>
      <w:r>
        <w:rPr/>
        <w:t>esplicitamente sancisce la differenza tra politics e policy non riconoscendo “le formazioni e le associazioni politiche, i sindacati, … nonché gli enti sottoposti a direzione e coordinamento o controllati dai suddetti enti” come parte del mondo del volontariato (Enti del Terzo Settore). Mentre prescrive (art. 55) alle “amministrazioni pubbliche”, il “coinvolgimento attivo” del volontariato “attraverso forme di co-programmazione e co-progettazione”, in attuazione anche del principio di sussidiarietà. Tutto ciò costituisce un nuovo pilastro dell’agire democratico e della democrazia nel nostro Paese.</w:t>
      </w:r>
    </w:p>
    <w:p>
      <w:pPr>
        <w:pStyle w:val="BodyText"/>
        <w:rPr>
          <w:rFonts w:ascii="Times New Roman" w:hAnsi="Times New Roman" w:cs="Times New Roman"/>
        </w:rPr>
      </w:pPr>
      <w:r>
        <w:rPr/>
        <w:t xml:space="preserve">Abbiamo tutti a cuore la democrazia, e una sana, aperta collaborazione fra politics e policy può servire a rafforzarla. Ma occorre che entrambe riconoscano pari e reciproca dignità. </w:t>
      </w:r>
    </w:p>
    <w:p>
      <w:pPr>
        <w:pStyle w:val="BodyText"/>
        <w:rPr>
          <w:rFonts w:ascii="Times New Roman" w:hAnsi="Times New Roman" w:cs="Times New Roman"/>
        </w:rPr>
      </w:pPr>
      <w:r>
        <w:rPr/>
        <w:t>La collaborazione, infatti, è un processo tra parti indipendenti che operano assieme per realizzare risultati condivisi e concordati. Prerequisiti della collaborazione sono che ogni parte riconosca pari dignità alle altre, che ci sia un clima di fiducia, che si individui un obiettivo condiviso. Senza questi prerequisiti non c’è collaborazione ma subordinazione.</w:t>
      </w:r>
    </w:p>
    <w:p>
      <w:pPr>
        <w:pStyle w:val="BodyText"/>
        <w:rPr>
          <w:rFonts w:ascii="Times New Roman" w:hAnsi="Times New Roman" w:cs="Times New Roman"/>
        </w:rPr>
      </w:pPr>
      <w:r>
        <w:rPr/>
        <w:t>La collaborazione, così intesa, è alla base dell’Amministrazione Condivisa, cardine dei rapporti collaborativi fra Volontariato e Pubblica Amministrazione (2).</w:t>
      </w:r>
    </w:p>
    <w:p>
      <w:pPr>
        <w:pStyle w:val="BodyText"/>
        <w:rPr>
          <w:rFonts w:ascii="Times New Roman" w:hAnsi="Times New Roman" w:cs="Times New Roman"/>
        </w:rPr>
      </w:pPr>
      <w:r>
        <w:rPr/>
        <w:t xml:space="preserve">La collaborazione, così intesa, richiama la condivisione di responsabilità in un esercizio di democrazia partecipata. </w:t>
      </w:r>
    </w:p>
    <w:p>
      <w:pPr>
        <w:pStyle w:val="BodyText"/>
        <w:rPr>
          <w:rFonts w:ascii="Times New Roman" w:hAnsi="Times New Roman" w:cs="Times New Roman"/>
        </w:rPr>
      </w:pPr>
      <w:r>
        <w:rPr/>
        <w:t>Mi appoggio alle parole del prof. Arena (2): “La condivisione obbliga cittadini e amministrazioni ad uscire dal proprio ambito di operatività per aprirsi alla collaborazione. Ciò è particolarmente difficile da accettare per le Pubbliche Amministrazioni che incontrano notevoli resistenze culturali a riconoscere nei cittadini dei potenziali alleati. Ma anche per i cittadini, da sempre in Italia diffidenti e sospettosi nei confronti delle istituzioni, non è facile dare fiducia alle PPAA e condividere con esse, nell’interesse generale, tempo, competenze, idee, relazioni.”</w:t>
      </w:r>
    </w:p>
    <w:p>
      <w:pPr>
        <w:pStyle w:val="BodyText"/>
        <w:rPr>
          <w:rFonts w:ascii="Times New Roman" w:hAnsi="Times New Roman" w:cs="Times New Roman"/>
        </w:rPr>
      </w:pPr>
      <w:r>
        <w:rPr/>
        <w:t>Il prof. Arena parla di “resistenze culturali” e le individua sia nelle PPAA che nei cittadini.</w:t>
      </w:r>
    </w:p>
    <w:p>
      <w:pPr>
        <w:pStyle w:val="BodyText"/>
        <w:rPr>
          <w:rFonts w:ascii="Times New Roman" w:hAnsi="Times New Roman" w:cs="Times New Roman"/>
        </w:rPr>
      </w:pPr>
      <w:r>
        <w:rPr/>
        <w:t xml:space="preserve">Queste resistenze culturali devono essere superate. Occorre uno sforzo verso la condivisione sia delle Amministrazioni, nella componente politica e in quella amministrativa, che dei cittadini: ne va del futuro della democrazia. </w:t>
      </w:r>
    </w:p>
    <w:p>
      <w:pPr>
        <w:pStyle w:val="BodyText"/>
        <w:rPr>
          <w:rFonts w:ascii="Times New Roman" w:hAnsi="Times New Roman" w:cs="Times New Roman"/>
        </w:rPr>
      </w:pPr>
      <w:r>
        <w:rPr/>
        <w:t xml:space="preserve">La condivisione sta all’opposto di suggestioni di “premierato”, di uomo o donna solo/a al comando, di arroccamenti che soffocano e umiliano l’intelligenza e la maturità dei cittadini. </w:t>
      </w:r>
    </w:p>
    <w:p>
      <w:pPr>
        <w:pStyle w:val="BodyText"/>
        <w:rPr>
          <w:rFonts w:ascii="Times New Roman" w:hAnsi="Times New Roman" w:cs="Times New Roman"/>
        </w:rPr>
      </w:pPr>
      <w:r>
        <w:rPr/>
        <w:t>La condivisione è collaborazione responsabile fra adulti responsabili. Questa è la sfida per far crescere la democrazia e forse anche la partecipazione al voto.</w:t>
      </w:r>
    </w:p>
    <w:p>
      <w:pPr>
        <w:pStyle w:val="BodyText"/>
        <w:rPr/>
      </w:pPr>
      <w:r>
        <w:rPr/>
      </w:r>
    </w:p>
    <w:p>
      <w:pPr>
        <w:pStyle w:val="BodyText"/>
        <w:rPr>
          <w:rFonts w:ascii="Times New Roman" w:hAnsi="Times New Roman" w:cs="Times New Roman"/>
        </w:rPr>
      </w:pPr>
      <w:r>
        <w:rPr/>
        <w:t>Raimondo Raimondi – novembre 24</w:t>
      </w:r>
    </w:p>
    <w:p>
      <w:pPr>
        <w:pStyle w:val="BodyText"/>
        <w:rPr/>
      </w:pPr>
      <w:r>
        <w:rPr/>
      </w:r>
    </w:p>
    <w:p>
      <w:pPr>
        <w:pStyle w:val="BodyText"/>
        <w:numPr>
          <w:ilvl w:val="0"/>
          <w:numId w:val="1"/>
        </w:numPr>
        <w:rPr/>
      </w:pPr>
      <w:hyperlink r:id="rId2">
        <w:r>
          <w:rPr>
            <w:rStyle w:val="Hyperlink"/>
            <w:rFonts w:cs="Times New Roman" w:ascii="Times New Roman" w:hAnsi="Times New Roman"/>
            <w:sz w:val="20"/>
            <w:szCs w:val="20"/>
          </w:rPr>
          <w:t>https://eurispes.eu/news/risultati-del-rapporto-italia-2023/</w:t>
        </w:r>
      </w:hyperlink>
      <w:r>
        <w:rPr>
          <w:rFonts w:cs="Times New Roman" w:ascii="Times New Roman" w:hAnsi="Times New Roman"/>
          <w:sz w:val="20"/>
          <w:szCs w:val="20"/>
        </w:rPr>
        <w:t xml:space="preserve"> </w:t>
      </w:r>
    </w:p>
    <w:p>
      <w:pPr>
        <w:pStyle w:val="BodyText"/>
        <w:numPr>
          <w:ilvl w:val="0"/>
          <w:numId w:val="1"/>
        </w:numPr>
        <w:rPr/>
      </w:pPr>
      <w:r>
        <w:rPr>
          <w:rFonts w:cs="Times New Roman" w:ascii="Times New Roman" w:hAnsi="Times New Roman"/>
          <w:sz w:val="20"/>
          <w:szCs w:val="20"/>
        </w:rPr>
        <w:t xml:space="preserve">Dal punto di vista costituzionale si veda </w:t>
      </w:r>
      <w:hyperlink r:id="rId3">
        <w:r>
          <w:rPr>
            <w:rStyle w:val="Hyperlink"/>
            <w:rFonts w:cs="Times New Roman" w:ascii="Times New Roman" w:hAnsi="Times New Roman"/>
            <w:sz w:val="20"/>
            <w:szCs w:val="20"/>
          </w:rPr>
          <w:t>https://www.cantiereterzosettore.it/la-sentenza-131-2020-della-corte-costituzionale/</w:t>
        </w:r>
      </w:hyperlink>
      <w:r>
        <w:rPr>
          <w:rFonts w:cs="Times New Roman" w:ascii="Times New Roman" w:hAnsi="Times New Roman"/>
          <w:sz w:val="20"/>
          <w:szCs w:val="20"/>
        </w:rPr>
        <w:t xml:space="preserve">  . Si veda anche </w:t>
      </w:r>
      <w:hyperlink r:id="rId4">
        <w:r>
          <w:rPr>
            <w:rStyle w:val="Hyperlink"/>
            <w:rFonts w:cs="Times New Roman" w:ascii="Times New Roman" w:hAnsi="Times New Roman"/>
            <w:sz w:val="20"/>
            <w:szCs w:val="20"/>
          </w:rPr>
          <w:t>https://www.labsus.org/amministrazione-condivisa/</w:t>
        </w:r>
      </w:hyperlink>
      <w:r>
        <w:rPr>
          <w:rFonts w:cs="Times New Roman" w:ascii="Times New Roman" w:hAnsi="Times New Roman"/>
          <w:sz w:val="20"/>
          <w:szCs w:val="20"/>
        </w:rPr>
        <w:t xml:space="preserve"> </w:t>
      </w:r>
    </w:p>
    <w:p>
      <w:pPr>
        <w:pStyle w:val="BodyText"/>
        <w:numPr>
          <w:ilvl w:val="0"/>
          <w:numId w:val="1"/>
        </w:numPr>
        <w:rPr/>
      </w:pPr>
      <w:hyperlink r:id="rId5">
        <w:r>
          <w:rPr>
            <w:rStyle w:val="Hyperlink"/>
            <w:rFonts w:cs="Times New Roman" w:ascii="Times New Roman" w:hAnsi="Times New Roman"/>
            <w:sz w:val="20"/>
            <w:szCs w:val="20"/>
          </w:rPr>
          <w:t>https://www.labsus.org/chi-siamo/</w:t>
        </w:r>
      </w:hyperlink>
      <w:r>
        <w:rPr>
          <w:rFonts w:cs="Times New Roman" w:ascii="Times New Roman" w:hAnsi="Times New Roman"/>
          <w:sz w:val="20"/>
          <w:szCs w:val="20"/>
        </w:rPr>
        <w:t xml:space="preserve"> </w:t>
      </w:r>
    </w:p>
    <w:p>
      <w:pPr>
        <w:pStyle w:val="BodyText"/>
        <w:rPr/>
      </w:pPr>
      <w:r>
        <w:rPr/>
      </w:r>
    </w:p>
    <w:p>
      <w:pPr>
        <w:pStyle w:val="BodyText"/>
        <w:spacing w:before="0" w:after="140"/>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default"/>
  </w:font>
  <w:font w:name="Aptos Display">
    <w:charset w:val="01"/>
    <w:family w:val="roman"/>
    <w:pitch w:val="default"/>
  </w:font>
  <w:font w:name="Liberation Sans">
    <w:altName w:val="Arial"/>
    <w:charset w:val="01"/>
    <w:family w:val="swiss"/>
    <w:pitch w:val="default"/>
  </w:font>
  <w:font w:name="DejaVu Serif">
    <w:charset w:val="01"/>
    <w:family w:val="roman"/>
    <w:pitch w:val="default"/>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20" w:hanging="360"/>
      </w:pPr>
      <w:rPr/>
    </w:lvl>
    <w:lvl w:ilvl="1">
      <w:start w:val="1"/>
      <w:numFmt w:val="lowerLetter"/>
      <w:lvlText w:val="%2."/>
      <w:lvlJc w:val="left"/>
      <w:pPr>
        <w:tabs>
          <w:tab w:val="num" w:pos="0"/>
        </w:tabs>
        <w:ind w:left="1140" w:hanging="360"/>
      </w:pPr>
      <w:rPr/>
    </w:lvl>
    <w:lvl w:ilvl="2">
      <w:start w:val="1"/>
      <w:numFmt w:val="lowerRoman"/>
      <w:lvlText w:val="%3."/>
      <w:lvlJc w:val="right"/>
      <w:pPr>
        <w:tabs>
          <w:tab w:val="num" w:pos="0"/>
        </w:tabs>
        <w:ind w:left="1860" w:hanging="180"/>
      </w:pPr>
      <w:rPr/>
    </w:lvl>
    <w:lvl w:ilvl="3">
      <w:start w:val="1"/>
      <w:numFmt w:val="decimal"/>
      <w:lvlText w:val="%4."/>
      <w:lvlJc w:val="left"/>
      <w:pPr>
        <w:tabs>
          <w:tab w:val="num" w:pos="0"/>
        </w:tabs>
        <w:ind w:left="2580" w:hanging="360"/>
      </w:pPr>
      <w:rPr/>
    </w:lvl>
    <w:lvl w:ilvl="4">
      <w:start w:val="1"/>
      <w:numFmt w:val="lowerLetter"/>
      <w:lvlText w:val="%5."/>
      <w:lvlJc w:val="left"/>
      <w:pPr>
        <w:tabs>
          <w:tab w:val="num" w:pos="0"/>
        </w:tabs>
        <w:ind w:left="3300" w:hanging="360"/>
      </w:pPr>
      <w:rPr/>
    </w:lvl>
    <w:lvl w:ilvl="5">
      <w:start w:val="1"/>
      <w:numFmt w:val="lowerRoman"/>
      <w:lvlText w:val="%6."/>
      <w:lvlJc w:val="right"/>
      <w:pPr>
        <w:tabs>
          <w:tab w:val="num" w:pos="0"/>
        </w:tabs>
        <w:ind w:left="4020" w:hanging="180"/>
      </w:pPr>
      <w:rPr/>
    </w:lvl>
    <w:lvl w:ilvl="6">
      <w:start w:val="1"/>
      <w:numFmt w:val="decimal"/>
      <w:lvlText w:val="%7."/>
      <w:lvlJc w:val="left"/>
      <w:pPr>
        <w:tabs>
          <w:tab w:val="num" w:pos="0"/>
        </w:tabs>
        <w:ind w:left="4740" w:hanging="360"/>
      </w:pPr>
      <w:rPr/>
    </w:lvl>
    <w:lvl w:ilvl="7">
      <w:start w:val="1"/>
      <w:numFmt w:val="lowerLetter"/>
      <w:lvlText w:val="%8."/>
      <w:lvlJc w:val="left"/>
      <w:pPr>
        <w:tabs>
          <w:tab w:val="num" w:pos="0"/>
        </w:tabs>
        <w:ind w:left="5460" w:hanging="360"/>
      </w:pPr>
      <w:rPr/>
    </w:lvl>
    <w:lvl w:ilvl="8">
      <w:start w:val="1"/>
      <w:numFmt w:val="lowerRoman"/>
      <w:lvlText w:val="%9."/>
      <w:lvlJc w:val="right"/>
      <w:pPr>
        <w:tabs>
          <w:tab w:val="num" w:pos="0"/>
        </w:tabs>
        <w:ind w:left="61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22f4"/>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Heading1">
    <w:name w:val="heading 1"/>
    <w:basedOn w:val="Normal"/>
    <w:next w:val="Normal"/>
    <w:link w:val="Titolo1Carattere"/>
    <w:uiPriority w:val="9"/>
    <w:qFormat/>
    <w:rsid w:val="00fb36a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fb36a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fb36a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fb36a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fb36a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fb36a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fb36a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fb36a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fb36a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fb36a5"/>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fb36a5"/>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fb36a5"/>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fb36a5"/>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fb36a5"/>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fb36a5"/>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fb36a5"/>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fb36a5"/>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fb36a5"/>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fb36a5"/>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fb36a5"/>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fb36a5"/>
    <w:rPr>
      <w:i/>
      <w:iCs/>
      <w:color w:themeColor="text1" w:themeTint="bf" w:val="404040"/>
    </w:rPr>
  </w:style>
  <w:style w:type="character" w:styleId="IntenseEmphasis">
    <w:name w:val="Intense Emphasis"/>
    <w:basedOn w:val="DefaultParagraphFont"/>
    <w:uiPriority w:val="21"/>
    <w:qFormat/>
    <w:rsid w:val="00fb36a5"/>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fb36a5"/>
    <w:rPr>
      <w:i/>
      <w:iCs/>
      <w:color w:themeColor="accent1" w:themeShade="bf" w:val="0F4761"/>
    </w:rPr>
  </w:style>
  <w:style w:type="character" w:styleId="IntenseReference">
    <w:name w:val="Intense Reference"/>
    <w:basedOn w:val="DefaultParagraphFont"/>
    <w:uiPriority w:val="32"/>
    <w:qFormat/>
    <w:rsid w:val="00fb36a5"/>
    <w:rPr>
      <w:b/>
      <w:bCs/>
      <w:smallCaps/>
      <w:color w:themeColor="accent1" w:themeShade="bf" w:val="0F4761"/>
      <w:spacing w:val="5"/>
    </w:rPr>
  </w:style>
  <w:style w:type="character" w:styleId="InternetLink">
    <w:name w:val="Internet Link"/>
    <w:basedOn w:val="DefaultParagraphFont"/>
    <w:uiPriority w:val="99"/>
    <w:unhideWhenUsed/>
    <w:qFormat/>
    <w:rsid w:val="006a22f4"/>
    <w:rPr>
      <w:color w:themeColor="hyperlink" w:val="467886"/>
      <w:u w:val="single"/>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Caratteridinumerazione">
    <w:name w:val="Caratteri di numerazione"/>
    <w:qFormat/>
    <w:rPr/>
  </w:style>
  <w:style w:type="character" w:styleId="Hyperlink">
    <w:name w:val="Hyperlink"/>
    <w:rPr>
      <w:color w:val="000080"/>
      <w:u w:val="single"/>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Title">
    <w:name w:val="Title"/>
    <w:basedOn w:val="Normal"/>
    <w:next w:val="Normal"/>
    <w:link w:val="TitoloCarattere"/>
    <w:uiPriority w:val="10"/>
    <w:qFormat/>
    <w:rsid w:val="00fb36a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fb36a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fb36a5"/>
    <w:pPr>
      <w:spacing w:before="160" w:after="160"/>
      <w:jc w:val="center"/>
    </w:pPr>
    <w:rPr>
      <w:i/>
      <w:iCs/>
      <w:color w:themeColor="text1" w:themeTint="bf" w:val="404040"/>
    </w:rPr>
  </w:style>
  <w:style w:type="paragraph" w:styleId="ListParagraph">
    <w:name w:val="List Paragraph"/>
    <w:basedOn w:val="Normal"/>
    <w:uiPriority w:val="34"/>
    <w:qFormat/>
    <w:rsid w:val="00fb36a5"/>
    <w:pPr>
      <w:spacing w:before="0" w:after="160"/>
      <w:ind w:left="720"/>
      <w:contextualSpacing/>
    </w:pPr>
    <w:rPr/>
  </w:style>
  <w:style w:type="paragraph" w:styleId="IntenseQuote">
    <w:name w:val="Intense Quote"/>
    <w:basedOn w:val="Normal"/>
    <w:next w:val="Normal"/>
    <w:link w:val="CitazioneintensaCarattere"/>
    <w:uiPriority w:val="30"/>
    <w:qFormat/>
    <w:rsid w:val="00fb36a5"/>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6a22f4"/>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6a22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urispes.eu/news/risultati-del-rapporto-italia-2023/" TargetMode="External"/><Relationship Id="rId3" Type="http://schemas.openxmlformats.org/officeDocument/2006/relationships/hyperlink" Target="https://www.cantiereterzosettore.it/la-sentenza-131-2020-della-corte-costituzionale/" TargetMode="External"/><Relationship Id="rId4" Type="http://schemas.openxmlformats.org/officeDocument/2006/relationships/hyperlink" Target="https://www.labsus.org/amministrazione-condivisa/" TargetMode="External"/><Relationship Id="rId5" Type="http://schemas.openxmlformats.org/officeDocument/2006/relationships/hyperlink" Target="https://www.labsus.org/chi-siam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TotalTime>
  <Application>LibreOffice/24.8.2.1$Linux_X86_64 LibreOffice_project/0f794b6e29741098670a3b95d60478a65d05ef13</Application>
  <AppVersion>15.0000</AppVersion>
  <Pages>5</Pages>
  <Words>1070</Words>
  <Characters>6488</Characters>
  <CharactersWithSpaces>7499</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2024-11-07T20:29:00Z</dcterms:created>
  <dc:creator>Utente</dc:creator>
  <dc:description/>
  <dc:language>it-IT</dc:language>
  <cp:lastModifiedBy/>
  <dcterms:modified xsi:type="dcterms:W3CDTF">2024-12-19T23:23:37Z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