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cs="Times New Roman"/>
          <w:b/>
          <w:bCs/>
        </w:rPr>
      </w:pPr>
      <w:r>
        <w:rPr/>
        <w:t>TITOLO</w:t>
      </w:r>
    </w:p>
    <w:p>
      <w:pPr>
        <w:pStyle w:val="BodyText"/>
        <w:rPr>
          <w:rFonts w:ascii="Times New Roman" w:hAnsi="Times New Roman" w:cs="Times New Roman"/>
          <w:b/>
          <w:bCs/>
        </w:rPr>
      </w:pPr>
      <w:r>
        <w:rPr/>
        <w:t>Democrazia debole versus collaborazione e condivisione</w:t>
      </w:r>
    </w:p>
    <w:p>
      <w:pPr>
        <w:pStyle w:val="BodyText"/>
        <w:rPr>
          <w:rFonts w:ascii="Times New Roman" w:hAnsi="Times New Roman" w:cs="Times New Roman"/>
          <w:b/>
          <w:bCs/>
        </w:rPr>
      </w:pPr>
      <w:r>
        <w:rPr/>
        <w:t>SOTTOTITOLO</w:t>
      </w:r>
    </w:p>
    <w:p>
      <w:pPr>
        <w:pStyle w:val="BodyText"/>
        <w:rPr/>
      </w:pPr>
      <w:r>
        <w:rPr/>
        <w:t>"POLITICS" focalizzata sul consenso -"POLICY" basata sulla collaborazione tra cittadini e amministrazioni</w:t>
      </w:r>
    </w:p>
    <w:p>
      <w:pPr>
        <w:pStyle w:val="BodyText"/>
        <w:rPr/>
      </w:pPr>
      <w:r>
        <w:rPr/>
        <w:t>Le ragioni della perdita del consenso della politica a vantaggio del volontariato</w:t>
      </w:r>
    </w:p>
    <w:p>
      <w:pPr>
        <w:pStyle w:val="BodyText"/>
        <w:rPr>
          <w:rFonts w:ascii="Times New Roman" w:hAnsi="Times New Roman" w:cs="Times New Roman"/>
          <w:b/>
          <w:bCs/>
        </w:rPr>
      </w:pPr>
      <w:r>
        <w:rPr/>
        <w:t>AUTORE</w:t>
      </w:r>
    </w:p>
    <w:p>
      <w:pPr>
        <w:pStyle w:val="BodyText"/>
        <w:rPr>
          <w:rFonts w:ascii="Times New Roman" w:hAnsi="Times New Roman" w:cs="Times New Roman"/>
          <w:b/>
          <w:bCs/>
        </w:rPr>
      </w:pPr>
      <w:r>
        <w:rPr/>
        <w:t>Raimondo Raimondi</w:t>
      </w:r>
    </w:p>
    <w:p>
      <w:pPr>
        <w:pStyle w:val="BodyText"/>
        <w:rPr/>
      </w:pPr>
      <w:r>
        <w:rPr/>
      </w:r>
    </w:p>
    <w:p>
      <w:pPr>
        <w:pStyle w:val="BodyText"/>
        <w:rPr>
          <w:rFonts w:ascii="Times New Roman" w:hAnsi="Times New Roman" w:cs="Times New Roman"/>
          <w:b/>
          <w:bCs/>
        </w:rPr>
      </w:pPr>
      <w:r>
        <w:rPr/>
        <w:t>DATA</w:t>
      </w:r>
    </w:p>
    <w:p>
      <w:pPr>
        <w:pStyle w:val="BodyText"/>
        <w:rPr>
          <w:rFonts w:ascii="Times New Roman" w:hAnsi="Times New Roman" w:cs="Times New Roman"/>
          <w:b/>
          <w:bCs/>
        </w:rPr>
      </w:pPr>
      <w:r>
        <w:rPr/>
        <w:t>10-12-2024</w:t>
      </w:r>
    </w:p>
    <w:p>
      <w:pPr>
        <w:pStyle w:val="BodyText"/>
        <w:rPr/>
      </w:pPr>
      <w:r>
        <w:rPr/>
      </w:r>
    </w:p>
    <w:p>
      <w:pPr>
        <w:pStyle w:val="BodyText"/>
        <w:rPr>
          <w:rFonts w:ascii="Times New Roman" w:hAnsi="Times New Roman" w:cs="Times New Roman"/>
          <w:b/>
          <w:bCs/>
        </w:rPr>
      </w:pPr>
      <w:r>
        <w:rPr/>
        <w:t>ARTICOLO</w:t>
      </w:r>
    </w:p>
    <w:p>
      <w:pPr>
        <w:pStyle w:val="BodyText"/>
        <w:rPr>
          <w:rFonts w:ascii="Times New Roman" w:hAnsi="Times New Roman" w:cs="Times New Roman"/>
          <w:b/>
          <w:bCs/>
        </w:rPr>
      </w:pPr>
      <w:r>
        <w:rPr/>
      </w:r>
    </w:p>
    <w:p>
      <w:pPr>
        <w:pStyle w:val="NoSpacing"/>
        <w:rPr>
          <w:rFonts w:ascii="Times New Roman" w:hAnsi="Times New Roman" w:cs="Times New Roman"/>
          <w:b/>
          <w:bCs/>
        </w:rPr>
      </w:pPr>
      <w:r>
        <w:rPr/>
      </w:r>
    </w:p>
    <w:p>
      <w:pPr>
        <w:pStyle w:val="NoSpacing"/>
        <w:rPr>
          <w:rFonts w:ascii="Times New Roman" w:hAnsi="Times New Roman" w:cs="Times New Roman"/>
          <w:b/>
          <w:bCs/>
        </w:rPr>
      </w:pPr>
      <w:r>
        <w:rPr>
          <w:rFonts w:cs="Times New Roman" w:ascii="Times New Roman" w:hAnsi="Times New Roman"/>
          <w:b/>
          <w:bCs/>
        </w:rPr>
        <w:t>Suonare il piffero</w:t>
      </w:r>
    </w:p>
    <w:p>
      <w:pPr>
        <w:pStyle w:val="NoSpacing"/>
        <w:rPr>
          <w:rFonts w:ascii="Times New Roman" w:hAnsi="Times New Roman" w:cs="Times New Roman"/>
        </w:rPr>
      </w:pPr>
      <w:r>
        <w:rPr>
          <w:rFonts w:cs="Times New Roman" w:ascii="Times New Roman" w:hAnsi="Times New Roman"/>
        </w:rPr>
        <w:t xml:space="preserve">Vittorini diceva a Togliatti di non essere disposto a “suonare il piffero per la rivoluzione”: rivendicava così l’autonomia degli intellettuali e prendeva distanza da acquiescenze ed uniformità a programmi di partiti politici (in quel caso il PCI): era il 1947. </w:t>
      </w:r>
    </w:p>
    <w:p>
      <w:pPr>
        <w:pStyle w:val="NoSpacing"/>
        <w:rPr>
          <w:rFonts w:ascii="Times New Roman" w:hAnsi="Times New Roman" w:cs="Times New Roman"/>
        </w:rPr>
      </w:pPr>
      <w:r>
        <w:rPr>
          <w:rFonts w:cs="Times New Roman" w:ascii="Times New Roman" w:hAnsi="Times New Roman"/>
        </w:rPr>
        <w:t xml:space="preserve">Negli stessi anni nascevano e crescevano le ACLI che nei decenni successivi si staccarono dal “collateralismo” con la DC fino ad aprirsi, all’inizio degli anni 90, al Terzo Settore. </w:t>
      </w:r>
    </w:p>
    <w:p>
      <w:pPr>
        <w:pStyle w:val="NoSpacing"/>
        <w:rPr>
          <w:rFonts w:ascii="Times New Roman" w:hAnsi="Times New Roman" w:cs="Times New Roman"/>
        </w:rPr>
      </w:pPr>
      <w:r>
        <w:rPr>
          <w:rFonts w:cs="Times New Roman" w:ascii="Times New Roman" w:hAnsi="Times New Roman"/>
        </w:rPr>
        <w:t>Analogo travaglio portava l’ARCI ad affermare la sua autonomia dai partiti della sinistra e a sostenere apertamente il Terzo Settore all’inizio del nuovo millennio.</w:t>
      </w:r>
    </w:p>
    <w:p>
      <w:pPr>
        <w:pStyle w:val="NoSpacing"/>
        <w:rPr>
          <w:rFonts w:ascii="Times New Roman" w:hAnsi="Times New Roman" w:cs="Times New Roman"/>
        </w:rPr>
      </w:pPr>
      <w:r>
        <w:rPr>
          <w:rFonts w:cs="Times New Roman" w:ascii="Times New Roman" w:hAnsi="Times New Roman"/>
        </w:rPr>
        <w:t xml:space="preserve">Vittorini, ACLI e ARCI non erano più disposti a “suonare il piffero”, rivendicavano la propria autonomia e l’hanno conquistata. </w:t>
      </w:r>
    </w:p>
    <w:p>
      <w:pPr>
        <w:pStyle w:val="NoSpacing"/>
        <w:rPr>
          <w:rFonts w:ascii="Times New Roman" w:hAnsi="Times New Roman" w:cs="Times New Roman"/>
        </w:rPr>
      </w:pPr>
      <w:r>
        <w:rPr>
          <w:rFonts w:cs="Times New Roman" w:ascii="Times New Roman" w:hAnsi="Times New Roman"/>
        </w:rPr>
        <w:t xml:space="preserve">Vecchia storia, ma vale la pena ricordarla perché non è passato a tutti il vizietto di far “suonare il piffero” a qualcun altro. </w:t>
      </w:r>
    </w:p>
    <w:p>
      <w:pPr>
        <w:pStyle w:val="NoSpacing"/>
        <w:rPr>
          <w:rFonts w:ascii="Times New Roman" w:hAnsi="Times New Roman" w:cs="Times New Roman"/>
        </w:rPr>
      </w:pPr>
      <w:r>
        <w:rPr>
          <w:rFonts w:cs="Times New Roman" w:ascii="Times New Roman" w:hAnsi="Times New Roman"/>
        </w:rPr>
        <w:t>Recentemente (1), la presidente di CSVnet, rete nazionale dei centri di servizio per il volontariato, in un’intervista, affermava:</w:t>
      </w:r>
    </w:p>
    <w:p>
      <w:pPr>
        <w:pStyle w:val="NoSpacing"/>
        <w:rPr>
          <w:rFonts w:ascii="Times New Roman" w:hAnsi="Times New Roman" w:cs="Times New Roman"/>
        </w:rPr>
      </w:pPr>
      <w:r>
        <w:rPr>
          <w:rFonts w:cs="Times New Roman" w:ascii="Times New Roman" w:hAnsi="Times New Roman"/>
        </w:rPr>
        <w:t>“</w:t>
      </w:r>
      <w:r>
        <w:rPr>
          <w:rFonts w:cs="Times New Roman" w:ascii="Times New Roman" w:hAnsi="Times New Roman"/>
          <w:i/>
          <w:iCs/>
        </w:rPr>
        <w:t>Il volontariato non deve avere paura né di fare proposte né di vivere anche un certo grado di conflitto coi propri interlocutori. L’autonomia si gioca su questo campo: saper anteporre sempre l’interesse generale a qualsiasi altro interesse di parte e fare in modo che le istituzioni sappiano riconoscere non solo il ruolo pratico, ma anche quello di advocacy del volontariato</w:t>
      </w:r>
      <w:r>
        <w:rPr>
          <w:rFonts w:cs="Times New Roman" w:ascii="Times New Roman" w:hAnsi="Times New Roman"/>
        </w:rPr>
        <w:t xml:space="preserve">”. </w:t>
      </w:r>
    </w:p>
    <w:p>
      <w:pPr>
        <w:pStyle w:val="NoSpacing"/>
        <w:rPr>
          <w:rFonts w:ascii="Times New Roman" w:hAnsi="Times New Roman" w:cs="Times New Roman"/>
        </w:rPr>
      </w:pPr>
      <w:r>
        <w:rPr>
          <w:rFonts w:cs="Times New Roman" w:ascii="Times New Roman" w:hAnsi="Times New Roman"/>
        </w:rPr>
        <w:t>Affermazione forte, che vale la pena di analizzare.</w:t>
      </w:r>
    </w:p>
    <w:p>
      <w:pPr>
        <w:pStyle w:val="NoSpacing"/>
        <w:rPr>
          <w:rFonts w:ascii="Times New Roman" w:hAnsi="Times New Roman" w:cs="Times New Roman"/>
        </w:rPr>
      </w:pPr>
      <w:r>
        <w:rPr>
          <w:rFonts w:cs="Times New Roman" w:ascii="Times New Roman" w:hAnsi="Times New Roman"/>
        </w:rPr>
        <w:t xml:space="preserve">Cominciamo da “il volontariato non deve avere paura”. È come dire: ragazzi, siete cittadini non sudditi. C’è qualcuno che vi vuole zitti, buoni e sempre pronti a tappare buchi, ma voi avete le vostre proposte e, se ci credete, per realizzarle dovete anche correre il rischio di entrare in conflitto con i vostri interlocutori.  </w:t>
      </w:r>
    </w:p>
    <w:p>
      <w:pPr>
        <w:pStyle w:val="NoSpacing"/>
        <w:rPr>
          <w:rFonts w:ascii="Times New Roman" w:hAnsi="Times New Roman" w:cs="Times New Roman"/>
        </w:rPr>
      </w:pPr>
      <w:r>
        <w:rPr>
          <w:rFonts w:cs="Times New Roman" w:ascii="Times New Roman" w:hAnsi="Times New Roman"/>
        </w:rPr>
        <w:t xml:space="preserve">Ma chi sono gli “interlocutori”? </w:t>
      </w:r>
    </w:p>
    <w:p>
      <w:pPr>
        <w:pStyle w:val="NoSpacing"/>
        <w:rPr>
          <w:rFonts w:ascii="Times New Roman" w:hAnsi="Times New Roman" w:eastAsia="Times New Roman" w:cs="Times New Roman"/>
          <w:lang w:eastAsia="it-IT"/>
        </w:rPr>
      </w:pPr>
      <w:r>
        <w:rPr>
          <w:rFonts w:cs="Times New Roman" w:ascii="Times New Roman" w:hAnsi="Times New Roman"/>
        </w:rPr>
        <w:t xml:space="preserve">Senz’altro, </w:t>
      </w:r>
      <w:r>
        <w:rPr>
          <w:rFonts w:eastAsia="Times New Roman" w:cs="Times New Roman" w:ascii="Times New Roman" w:hAnsi="Times New Roman"/>
          <w:lang w:eastAsia="it-IT"/>
        </w:rPr>
        <w:t xml:space="preserve">sono le Pubbliche Amministrazioni, principalmente territoriali: Comuni, ASL, Scuole (2). </w:t>
      </w:r>
    </w:p>
    <w:p>
      <w:pPr>
        <w:pStyle w:val="NoSpacing"/>
        <w:rPr>
          <w:rFonts w:ascii="Times New Roman" w:hAnsi="Times New Roman" w:eastAsia="Times New Roman" w:cs="Times New Roman"/>
          <w:lang w:eastAsia="it-IT"/>
        </w:rPr>
      </w:pPr>
      <w:r>
        <w:rPr>
          <w:rFonts w:eastAsia="Times New Roman" w:cs="Times New Roman" w:ascii="Times New Roman" w:hAnsi="Times New Roman"/>
          <w:lang w:eastAsia="it-IT"/>
        </w:rPr>
        <w:t>Il rapporto del volontariato con questo tipo di “interlocutore” è consistito principalmente in finanziamento di progetti tramite bandi e in affidamento di servizi. Tale forma di rapporto rende labile la differenza tra volontariato e fornitore. Ma soprattutto non è una collaborazione alla pari fra i cittadini “singoli od organizzati” e PPAA. È un tipo di rapporto che rispecchia priorità stabilite dalle PPAA. Priorità non individuate assieme alle associazioni di volontariato partendo da una comune ricognizione e valutazione dei bisogni del territorio e arrivando ad una conseguente condivisa pianificazione ed esecuzione delle azioni. Insomma: priorità calate dall’alto.</w:t>
      </w:r>
    </w:p>
    <w:p>
      <w:pPr>
        <w:pStyle w:val="NoSpacing"/>
        <w:rPr>
          <w:rFonts w:ascii="Times New Roman" w:hAnsi="Times New Roman" w:eastAsia="Times New Roman" w:cs="Times New Roman"/>
          <w:lang w:eastAsia="it-IT"/>
        </w:rPr>
      </w:pPr>
      <w:r>
        <w:rPr>
          <w:rFonts w:eastAsia="Times New Roman" w:cs="Times New Roman" w:ascii="Times New Roman" w:hAnsi="Times New Roman"/>
          <w:lang w:eastAsia="it-IT"/>
        </w:rPr>
        <w:t xml:space="preserve">Spesso il rapporto degenera in chiamate estemporanee a singoli volontari di singole associazioni per tappare i buchi di annose situazioni “emergenziali” note a tutti da decenni: è il cosiddetto “volontariato squillo”. </w:t>
      </w:r>
    </w:p>
    <w:p>
      <w:pPr>
        <w:pStyle w:val="NoSpacing"/>
        <w:rPr>
          <w:rFonts w:ascii="Times New Roman" w:hAnsi="Times New Roman" w:eastAsia="Times New Roman" w:cs="Times New Roman"/>
          <w:i/>
          <w:i/>
          <w:iCs/>
          <w:lang w:eastAsia="it-IT"/>
        </w:rPr>
      </w:pPr>
      <w:r>
        <w:rPr>
          <w:rFonts w:eastAsia="Times New Roman" w:cs="Times New Roman" w:ascii="Times New Roman" w:hAnsi="Times New Roman"/>
          <w:lang w:eastAsia="it-IT"/>
        </w:rPr>
        <w:t xml:space="preserve">Un esempio di volontariato squillo: </w:t>
      </w:r>
      <w:r>
        <w:rPr>
          <w:rFonts w:cs="Times New Roman" w:ascii="Times New Roman" w:hAnsi="Times New Roman"/>
        </w:rPr>
        <w:t>una volontaria impegnata da decenni nell’insegnamento dell’italiano ai migranti, testimonia: “</w:t>
      </w:r>
      <w:r>
        <w:rPr>
          <w:rFonts w:cs="Times New Roman" w:ascii="Times New Roman" w:hAnsi="Times New Roman"/>
          <w:i/>
          <w:iCs/>
        </w:rPr>
        <w:t>Un documento del MIUR del 2006 rilevava che passano dalle scuole le possibilità di costruire una società plurale e coesa, in cui gli stranieri non siano considerati ospiti in prova perenne ma nuovi cittadini con diritti e doveri. Queste parole sono largamente disattese.</w:t>
        <w:br/>
        <w:t>Gli interventi che vengono richiesti ai volontari sono di tipo compensatorio, non nascono da riflessioni pedagogiche e didattiche di ampio respiro, sono piuttosto rivolte a risolvere di volta in volta problemi contingenti</w:t>
      </w:r>
      <w:r>
        <w:rPr>
          <w:rFonts w:cs="Times New Roman" w:ascii="Times New Roman" w:hAnsi="Times New Roman"/>
        </w:rPr>
        <w:t xml:space="preserve">”. </w:t>
      </w:r>
    </w:p>
    <w:p>
      <w:pPr>
        <w:pStyle w:val="NoSpacing"/>
        <w:rPr>
          <w:rFonts w:ascii="Times New Roman" w:hAnsi="Times New Roman" w:eastAsia="Times New Roman" w:cs="Times New Roman"/>
          <w:lang w:eastAsia="it-IT"/>
        </w:rPr>
      </w:pPr>
      <w:r>
        <w:rPr>
          <w:rFonts w:eastAsia="Times New Roman" w:cs="Times New Roman" w:ascii="Times New Roman" w:hAnsi="Times New Roman"/>
          <w:lang w:eastAsia="it-IT"/>
        </w:rPr>
        <w:t xml:space="preserve">Il Codice del Terzo Settore del 2017 ha introdotto per legge un registro nuovo e la musica, lentamente, sta cambiando. </w:t>
      </w:r>
    </w:p>
    <w:p>
      <w:pPr>
        <w:pStyle w:val="NoSpacing"/>
        <w:rPr>
          <w:rFonts w:ascii="Times New Roman" w:hAnsi="Times New Roman" w:eastAsia="Times New Roman" w:cs="Times New Roman"/>
          <w:lang w:eastAsia="it-IT"/>
        </w:rPr>
      </w:pPr>
      <w:r>
        <w:rPr>
          <w:rFonts w:eastAsia="Times New Roman" w:cs="Times New Roman" w:ascii="Times New Roman" w:hAnsi="Times New Roman"/>
          <w:lang w:eastAsia="it-IT"/>
        </w:rPr>
        <w:t xml:space="preserve">Alle associazioni di volontariato la Corte Costituzionale, con la sentenza 131/20, ha riconosciuto una “specifica attitudine a partecipare, insieme alla Pubblica Amministrazione, alla realizzazione dell’interesse generale”.  </w:t>
      </w:r>
    </w:p>
    <w:p>
      <w:pPr>
        <w:pStyle w:val="NoSpacing"/>
        <w:rPr>
          <w:rFonts w:ascii="Times New Roman" w:hAnsi="Times New Roman" w:eastAsia="Times New Roman" w:cs="Times New Roman"/>
          <w:b/>
          <w:bCs/>
          <w:lang w:eastAsia="it-IT"/>
        </w:rPr>
      </w:pPr>
      <w:r>
        <w:rPr>
          <w:rFonts w:eastAsia="Times New Roman" w:cs="Times New Roman" w:ascii="Times New Roman" w:hAnsi="Times New Roman"/>
          <w:lang w:eastAsia="it-IT"/>
        </w:rPr>
        <w:t>La realizzazione dell’interesse generale è un’occasione per riattivare la democrazia nel senso della partecipazione alla pari e non più solo la democrazia della delega elettorale, peraltro sempre più in crisi</w:t>
      </w:r>
      <w:r>
        <w:rPr>
          <w:rFonts w:eastAsia="Times New Roman" w:cs="Times New Roman" w:ascii="Times New Roman" w:hAnsi="Times New Roman"/>
          <w:b/>
          <w:bCs/>
          <w:lang w:eastAsia="it-IT"/>
        </w:rPr>
        <w:t xml:space="preserve">. </w:t>
      </w:r>
    </w:p>
    <w:p>
      <w:pPr>
        <w:pStyle w:val="NoSpacing"/>
        <w:rPr>
          <w:rFonts w:ascii="Times New Roman" w:hAnsi="Times New Roman" w:eastAsia="Times New Roman" w:cs="Times New Roman"/>
          <w:lang w:eastAsia="it-IT"/>
        </w:rPr>
      </w:pPr>
      <w:r>
        <w:rPr>
          <w:rFonts w:cs="Times New Roman" w:ascii="Times New Roman" w:hAnsi="Times New Roman"/>
        </w:rPr>
        <w:t>L’interesse generale è tipico del volontariato ed è riconosciuto per legge al volontariato ma non a partiti, sindacati, associazioni di categoria, ecc.</w:t>
      </w:r>
      <w:r>
        <w:rPr>
          <w:rFonts w:eastAsia="Times New Roman" w:cs="Times New Roman" w:ascii="Times New Roman" w:hAnsi="Times New Roman"/>
          <w:lang w:eastAsia="it-IT"/>
        </w:rPr>
        <w:t xml:space="preserve"> (3) </w:t>
      </w:r>
    </w:p>
    <w:p>
      <w:pPr>
        <w:pStyle w:val="NoSpacing"/>
        <w:rPr>
          <w:rFonts w:ascii="Times New Roman" w:hAnsi="Times New Roman" w:eastAsia="Times New Roman" w:cs="Times New Roman"/>
          <w:lang w:eastAsia="it-IT"/>
        </w:rPr>
      </w:pPr>
      <w:r>
        <w:rPr>
          <w:rFonts w:eastAsia="Times New Roman" w:cs="Times New Roman" w:ascii="Times New Roman" w:hAnsi="Times New Roman"/>
          <w:lang w:eastAsia="it-IT"/>
        </w:rPr>
        <w:t>E veniamo a “</w:t>
      </w:r>
      <w:r>
        <w:rPr>
          <w:rFonts w:cs="Times New Roman" w:ascii="Times New Roman" w:hAnsi="Times New Roman"/>
        </w:rPr>
        <w:t>partiti, sindacati, associazioni di categoria</w:t>
      </w:r>
      <w:r>
        <w:rPr>
          <w:rFonts w:eastAsia="Times New Roman" w:cs="Times New Roman" w:ascii="Times New Roman" w:hAnsi="Times New Roman"/>
          <w:lang w:eastAsia="it-IT"/>
        </w:rPr>
        <w:t xml:space="preserve">”. </w:t>
      </w:r>
    </w:p>
    <w:p>
      <w:pPr>
        <w:pStyle w:val="NoSpacing"/>
        <w:rPr>
          <w:rFonts w:ascii="Times New Roman" w:hAnsi="Times New Roman" w:eastAsia="Times New Roman" w:cs="Times New Roman"/>
          <w:lang w:eastAsia="it-IT"/>
        </w:rPr>
      </w:pPr>
      <w:r>
        <w:rPr>
          <w:rFonts w:eastAsia="Times New Roman" w:cs="Times New Roman" w:ascii="Times New Roman" w:hAnsi="Times New Roman"/>
          <w:lang w:eastAsia="it-IT"/>
        </w:rPr>
        <w:t>Qui siamo difronte ad un altro tipo di “interlocutore”. Un interlocutore che, nel rapporto volontariato – Pubblica Amministrazione, la legge ha fatto uscire dalla porta e che tenta di rientrare dalla finestra. Tenta, cioè con sempre minore presa e paternalisticamente di riportare a casa quegli ETS che, nati da “sindacati e associazioni di categoria”, come tutti i figli che crescono, cercano di emanciparsi dai genitori.</w:t>
      </w:r>
    </w:p>
    <w:p>
      <w:pPr>
        <w:pStyle w:val="NoSpacing"/>
        <w:rPr>
          <w:rFonts w:ascii="Times New Roman" w:hAnsi="Times New Roman" w:eastAsia="Times New Roman" w:cs="Times New Roman"/>
          <w:lang w:eastAsia="it-IT"/>
        </w:rPr>
      </w:pPr>
      <w:r>
        <w:rPr>
          <w:rFonts w:eastAsia="Times New Roman" w:cs="Times New Roman" w:ascii="Times New Roman" w:hAnsi="Times New Roman"/>
          <w:lang w:eastAsia="it-IT"/>
        </w:rPr>
        <w:t xml:space="preserve">Per esemplificare questo tipo di paternalistico atteggiamento, valgano le seguenti frasi sentite al congresso indetto per l’”autonomia” di un ETS nato per iniziativa di un sindacato. Le frasi sono state pronunciate da autorevoli esponenti di quel sindacato: </w:t>
      </w:r>
    </w:p>
    <w:p>
      <w:pPr>
        <w:pStyle w:val="NoSpacing"/>
        <w:rPr>
          <w:rFonts w:ascii="Times New Roman" w:hAnsi="Times New Roman" w:eastAsia="Times New Roman" w:cs="Times New Roman"/>
          <w:lang w:eastAsia="it-IT"/>
        </w:rPr>
      </w:pPr>
      <w:r>
        <w:rPr>
          <w:rFonts w:eastAsia="Times New Roman" w:cs="Times New Roman" w:ascii="Times New Roman" w:hAnsi="Times New Roman"/>
          <w:lang w:eastAsia="it-IT"/>
        </w:rPr>
        <w:t>•</w:t>
      </w:r>
      <w:r>
        <w:rPr>
          <w:rFonts w:eastAsia="Times New Roman" w:cs="Times New Roman" w:ascii="Times New Roman" w:hAnsi="Times New Roman"/>
          <w:lang w:eastAsia="it-IT"/>
        </w:rPr>
        <w:tab/>
        <w:t>Il Terzo Settore è utile al sindacato per allargare presenza e azione</w:t>
      </w:r>
    </w:p>
    <w:p>
      <w:pPr>
        <w:pStyle w:val="NoSpacing"/>
        <w:rPr>
          <w:rFonts w:ascii="Times New Roman" w:hAnsi="Times New Roman" w:eastAsia="Times New Roman" w:cs="Times New Roman"/>
          <w:lang w:eastAsia="it-IT"/>
        </w:rPr>
      </w:pPr>
      <w:r>
        <w:rPr>
          <w:rFonts w:eastAsia="Times New Roman" w:cs="Times New Roman" w:ascii="Times New Roman" w:hAnsi="Times New Roman"/>
          <w:lang w:eastAsia="it-IT"/>
        </w:rPr>
        <w:t>•</w:t>
      </w:r>
      <w:r>
        <w:rPr>
          <w:rFonts w:eastAsia="Times New Roman" w:cs="Times New Roman" w:ascii="Times New Roman" w:hAnsi="Times New Roman"/>
          <w:lang w:eastAsia="it-IT"/>
        </w:rPr>
        <w:tab/>
        <w:t>Rafforziamo il rapporto simbiotico sindacato-ETS per presidiare i territori che il sindacato non può presidiare.</w:t>
      </w:r>
    </w:p>
    <w:p>
      <w:pPr>
        <w:pStyle w:val="NoSpacing"/>
        <w:rPr>
          <w:rFonts w:ascii="Times New Roman" w:hAnsi="Times New Roman" w:eastAsia="Times New Roman" w:cs="Times New Roman"/>
          <w:lang w:eastAsia="it-IT"/>
        </w:rPr>
      </w:pPr>
      <w:r>
        <w:rPr>
          <w:rFonts w:eastAsia="Times New Roman" w:cs="Times New Roman" w:ascii="Times New Roman" w:hAnsi="Times New Roman"/>
          <w:lang w:eastAsia="it-IT"/>
        </w:rPr>
        <w:t xml:space="preserve">Espressioni che, pur decontestualizzate, rivelano una mentalità che risente ancora della teoria del “suonare il piffero”. </w:t>
      </w:r>
    </w:p>
    <w:p>
      <w:pPr>
        <w:pStyle w:val="NoSpacing"/>
        <w:rPr>
          <w:rFonts w:ascii="Times New Roman" w:hAnsi="Times New Roman" w:eastAsia="Times New Roman" w:cs="Times New Roman"/>
          <w:lang w:eastAsia="it-IT"/>
        </w:rPr>
      </w:pPr>
      <w:r>
        <w:rPr>
          <w:rFonts w:eastAsia="Times New Roman" w:cs="Times New Roman" w:ascii="Times New Roman" w:hAnsi="Times New Roman"/>
          <w:lang w:eastAsia="it-IT"/>
        </w:rPr>
        <w:t>Espressioni isolate ed episodiche? Accostatele a quanto dice il presidente nazionale (</w:t>
      </w:r>
      <w:r>
        <w:rPr>
          <w:rFonts w:cs="Times New Roman" w:ascii="Times New Roman" w:hAnsi="Times New Roman"/>
        </w:rPr>
        <w:t>sindacalista in pensione</w:t>
      </w:r>
      <w:r>
        <w:rPr>
          <w:rFonts w:eastAsia="Times New Roman" w:cs="Times New Roman" w:ascii="Times New Roman" w:hAnsi="Times New Roman"/>
          <w:lang w:eastAsia="it-IT"/>
        </w:rPr>
        <w:t>) di un altro ETS in cerca di autonomia:</w:t>
      </w:r>
    </w:p>
    <w:p>
      <w:pPr>
        <w:pStyle w:val="NoSpacing"/>
        <w:numPr>
          <w:ilvl w:val="0"/>
          <w:numId w:val="2"/>
        </w:numPr>
        <w:rPr>
          <w:rFonts w:ascii="Times New Roman" w:hAnsi="Times New Roman" w:cs="Times New Roman"/>
        </w:rPr>
      </w:pPr>
      <w:r>
        <w:rPr>
          <w:rFonts w:cs="Times New Roman" w:ascii="Times New Roman" w:hAnsi="Times New Roman"/>
        </w:rPr>
        <w:t>la nostra funzione è fondamentale per ricucire le fratture sociali e lo vogliamo fare con un rapporto sinergico con il sindacato, attraverso gli strumenti della co-programmazione e coprogettazione</w:t>
      </w:r>
    </w:p>
    <w:p>
      <w:pPr>
        <w:pStyle w:val="NoSpacing"/>
        <w:numPr>
          <w:ilvl w:val="0"/>
          <w:numId w:val="2"/>
        </w:numPr>
        <w:rPr>
          <w:rFonts w:ascii="Times New Roman" w:hAnsi="Times New Roman" w:cs="Times New Roman"/>
        </w:rPr>
      </w:pPr>
      <w:r>
        <w:rPr>
          <w:rFonts w:cs="Times New Roman" w:ascii="Times New Roman" w:hAnsi="Times New Roman"/>
        </w:rPr>
        <w:t>Potenziare il nostro modello organizzativo rafforzando il rapporto tra vertenzialità del sindacato e progettualità del nostro ETS.</w:t>
      </w:r>
    </w:p>
    <w:p>
      <w:pPr>
        <w:pStyle w:val="NoSpacing"/>
        <w:rPr>
          <w:rFonts w:ascii="Times New Roman" w:hAnsi="Times New Roman" w:cs="Times New Roman"/>
        </w:rPr>
      </w:pPr>
      <w:r>
        <w:rPr>
          <w:rFonts w:cs="Times New Roman" w:ascii="Times New Roman" w:hAnsi="Times New Roman"/>
        </w:rPr>
        <w:t>Sono espressioni frutto di una mentalità retrograda e che non tiene conto della specificità, ormai acquisita e sancita, di ETS, espressioni che sono al di fuori della lettera e dello spirito della legge di riforma del terzo settore.</w:t>
      </w:r>
    </w:p>
    <w:p>
      <w:pPr>
        <w:pStyle w:val="NoSpacing"/>
        <w:rPr>
          <w:rFonts w:ascii="Times New Roman" w:hAnsi="Times New Roman" w:cs="Times New Roman"/>
        </w:rPr>
      </w:pPr>
      <w:r>
        <w:rPr>
          <w:rFonts w:cs="Times New Roman" w:ascii="Times New Roman" w:hAnsi="Times New Roman"/>
        </w:rPr>
        <w:t xml:space="preserve">Questa legge sancisce che sono gli ETS i legittimati </w:t>
      </w:r>
      <w:r>
        <w:rPr>
          <w:rFonts w:eastAsia="Times New Roman" w:cs="Times New Roman" w:ascii="Times New Roman" w:hAnsi="Times New Roman"/>
          <w:lang w:eastAsia="it-IT"/>
        </w:rPr>
        <w:t>a partecipare, insieme alla Pubblica Amministrazione, alla realizzazione dell’interesse generale.</w:t>
      </w:r>
    </w:p>
    <w:p>
      <w:pPr>
        <w:pStyle w:val="NoSpacing"/>
        <w:rPr>
          <w:rFonts w:ascii="Times New Roman" w:hAnsi="Times New Roman" w:cs="Times New Roman"/>
        </w:rPr>
      </w:pPr>
      <w:r>
        <w:rPr>
          <w:rFonts w:cs="Times New Roman" w:ascii="Times New Roman" w:hAnsi="Times New Roman"/>
        </w:rPr>
        <w:t>Insomma, ETS e Pubblica Amministrazione sono chiamati ad essere i musicanti di una nuova musica.</w:t>
      </w:r>
    </w:p>
    <w:p>
      <w:pPr>
        <w:pStyle w:val="NoSpacing"/>
        <w:rPr>
          <w:rFonts w:ascii="Times New Roman" w:hAnsi="Times New Roman" w:cs="Times New Roman"/>
        </w:rPr>
      </w:pPr>
      <w:r>
        <w:rPr>
          <w:rFonts w:cs="Times New Roman" w:ascii="Times New Roman" w:hAnsi="Times New Roman"/>
        </w:rPr>
        <w:t>Occorre però che i musicanti (i lavoratori delle PPAA, dei Comuni in particolare, e i volontari) apprendano lo spartito e vogliano eseguirlo in sinfonia. Lo spartito ormai c’è: leggi, sentenze, linee guida ministeriali, regolamenti comunali. Servono musicanti edotti ed informati per eseguirlo.</w:t>
      </w:r>
    </w:p>
    <w:p>
      <w:pPr>
        <w:pStyle w:val="NoSpacing"/>
        <w:rPr>
          <w:rFonts w:ascii="Times New Roman" w:hAnsi="Times New Roman" w:cs="Times New Roman"/>
        </w:rPr>
      </w:pPr>
      <w:r>
        <w:rPr>
          <w:rFonts w:cs="Times New Roman" w:ascii="Times New Roman" w:hAnsi="Times New Roman"/>
        </w:rPr>
        <w:t xml:space="preserve">Fuor di metafora, l’incitamento, sopra richiamato, della presidente del CSV a “fare in modo che le Istituzioni sappiano riconoscere non solo il ruolo pratico, ma anche quello di advocacy del volontariato” è un incitamento a </w:t>
      </w:r>
      <w:r>
        <w:rPr>
          <w:rFonts w:eastAsia="Times New Roman" w:cs="Times New Roman" w:ascii="Times New Roman" w:hAnsi="Times New Roman"/>
          <w:lang w:eastAsia="it-IT"/>
        </w:rPr>
        <w:t>rappresentare e difendere, come cittadini, in piena autonomia e dignità, i bisogni dei cittadini di fronte a chi dovrebbe riconoscerli e soddisfarli</w:t>
      </w:r>
      <w:r>
        <w:rPr>
          <w:rFonts w:cs="Times New Roman" w:ascii="Times New Roman" w:hAnsi="Times New Roman"/>
        </w:rPr>
        <w:t xml:space="preserve">. </w:t>
      </w:r>
    </w:p>
    <w:p>
      <w:pPr>
        <w:pStyle w:val="NoSpacing"/>
        <w:rPr>
          <w:rFonts w:ascii="Times New Roman" w:hAnsi="Times New Roman" w:cs="Times New Roman"/>
        </w:rPr>
      </w:pPr>
      <w:r>
        <w:rPr>
          <w:rFonts w:cs="Times New Roman" w:ascii="Times New Roman" w:hAnsi="Times New Roman"/>
        </w:rPr>
        <w:t>A 77 anni dall’exploit di Vittorini, anche per il volontariato è venuta l’ora di smetterla di “suonare il piffero”.</w:t>
      </w:r>
    </w:p>
    <w:p>
      <w:pPr>
        <w:pStyle w:val="NoSpacing"/>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(Dicembre 24)</w:t>
      </w:r>
    </w:p>
    <w:p>
      <w:pPr>
        <w:pStyle w:val="NoSpacing"/>
        <w:rPr>
          <w:rFonts w:ascii="Times New Roman" w:hAnsi="Times New Roman" w:cs="Times New Roman"/>
        </w:rPr>
      </w:pPr>
      <w:r>
        <w:rPr>
          <w:rFonts w:cs="Times New Roman" w:ascii="Times New Roman" w:hAnsi="Times New Roman"/>
        </w:rPr>
      </w:r>
    </w:p>
    <w:p>
      <w:pPr>
        <w:pStyle w:val="NoSpacing"/>
        <w:numPr>
          <w:ilvl w:val="0"/>
          <w:numId w:val="4"/>
        </w:numPr>
        <w:rPr>
          <w:rFonts w:ascii="Times New Roman" w:hAnsi="Times New Roman" w:eastAsia="Times New Roman" w:cs="Times New Roman"/>
          <w:kern w:val="2"/>
          <w:lang w:eastAsia="it-IT"/>
        </w:rPr>
      </w:pPr>
      <w:hyperlink r:id="rId2">
        <w:r>
          <w:rPr>
            <w:rStyle w:val="Hyperlink"/>
            <w:rFonts w:eastAsia="Times New Roman" w:cs="Times New Roman" w:ascii="Times New Roman" w:hAnsi="Times New Roman"/>
            <w:kern w:val="2"/>
            <w:sz w:val="20"/>
            <w:szCs w:val="20"/>
            <w:lang w:eastAsia="it-IT"/>
          </w:rPr>
          <w:t>http://www.vita.it/it/article/2021/06/29/tommasini-il-volontariato-non-abbia-paura-del-conflitto/159834/</w:t>
        </w:r>
      </w:hyperlink>
      <w:r>
        <w:rPr>
          <w:rStyle w:val="InternetLink"/>
          <w:rFonts w:eastAsia="Times New Roman" w:cs="Times New Roman" w:ascii="Times New Roman" w:hAnsi="Times New Roman"/>
          <w:kern w:val="2"/>
          <w:sz w:val="20"/>
          <w:szCs w:val="20"/>
          <w:lang w:eastAsia="it-IT"/>
        </w:rPr>
        <w:t xml:space="preserve"> </w:t>
      </w:r>
    </w:p>
    <w:p>
      <w:pPr>
        <w:pStyle w:val="NoSpacing"/>
        <w:numPr>
          <w:ilvl w:val="0"/>
          <w:numId w:val="1"/>
        </w:numPr>
        <w:rPr>
          <w:rFonts w:ascii="Times New Roman" w:hAnsi="Times New Roman" w:eastAsia="Times New Roman" w:cs="Times New Roman"/>
          <w:sz w:val="20"/>
          <w:szCs w:val="20"/>
          <w:lang w:eastAsia="it-IT"/>
        </w:rPr>
      </w:pPr>
      <w:r>
        <w:rPr>
          <w:rFonts w:eastAsia="Times New Roman" w:cs="Times New Roman" w:ascii="Times New Roman" w:hAnsi="Times New Roman"/>
          <w:sz w:val="20"/>
          <w:szCs w:val="20"/>
          <w:lang w:eastAsia="it-IT"/>
        </w:rPr>
        <w:t>“</w:t>
      </w:r>
      <w:r>
        <w:rPr>
          <w:rFonts w:eastAsia="Times New Roman" w:cs="Times New Roman" w:ascii="Times New Roman" w:hAnsi="Times New Roman"/>
          <w:sz w:val="20"/>
          <w:szCs w:val="20"/>
          <w:lang w:eastAsia="it-IT"/>
        </w:rPr>
        <w:t xml:space="preserve">La cittadinanza attiva: nascita e sviluppo di un'anomalia”. </w:t>
      </w:r>
      <w:r>
        <w:rPr>
          <w:rFonts w:cs="Times New Roman" w:ascii="Times New Roman" w:hAnsi="Times New Roman"/>
          <w:sz w:val="20"/>
          <w:szCs w:val="20"/>
        </w:rPr>
        <w:t>Giovanni Moro - L'Italia e le sue Regioni (2015)</w:t>
      </w:r>
      <w:r>
        <w:rPr>
          <w:rFonts w:eastAsia="Times New Roman" w:cs="Times New Roman" w:ascii="Times New Roman" w:hAnsi="Times New Roman"/>
          <w:sz w:val="20"/>
          <w:szCs w:val="20"/>
          <w:lang w:eastAsia="it-IT"/>
        </w:rPr>
        <w:t xml:space="preserve">. </w:t>
      </w:r>
      <w:hyperlink r:id="rId3">
        <w:r>
          <w:rPr>
            <w:rStyle w:val="Hyperlink"/>
            <w:rFonts w:eastAsia="Times New Roman" w:cs="Times New Roman" w:ascii="Times New Roman" w:hAnsi="Times New Roman"/>
            <w:sz w:val="20"/>
            <w:szCs w:val="20"/>
            <w:lang w:eastAsia="it-IT"/>
          </w:rPr>
          <w:t>https://www.treccani.it/enciclopedia/la-cittadinanza-attiva-nascita-e-sviluppo-di-un-anomalia_%28L%27Italia-e-le-sue-Regioni%29/</w:t>
        </w:r>
      </w:hyperlink>
      <w:r>
        <w:rPr>
          <w:rFonts w:eastAsia="Times New Roman" w:cs="Times New Roman" w:ascii="Times New Roman" w:hAnsi="Times New Roman"/>
          <w:sz w:val="20"/>
          <w:szCs w:val="20"/>
          <w:lang w:eastAsia="it-IT"/>
        </w:rPr>
        <w:t>)</w:t>
      </w:r>
    </w:p>
    <w:p>
      <w:pPr>
        <w:pStyle w:val="NoSpacing"/>
        <w:numPr>
          <w:ilvl w:val="0"/>
          <w:numId w:val="1"/>
        </w:numPr>
        <w:rPr>
          <w:rFonts w:ascii="Times New Roman" w:hAnsi="Times New Roman" w:eastAsia="Times New Roman" w:cs="Times New Roman"/>
          <w:sz w:val="20"/>
          <w:szCs w:val="20"/>
          <w:lang w:eastAsia="it-IT"/>
        </w:rPr>
      </w:pPr>
      <w:r>
        <w:rPr>
          <w:rFonts w:eastAsia="Times New Roman" w:cs="Times New Roman" w:ascii="Times New Roman" w:hAnsi="Times New Roman"/>
          <w:sz w:val="20"/>
          <w:szCs w:val="20"/>
          <w:lang w:eastAsia="it-IT"/>
        </w:rPr>
        <w:t xml:space="preserve">Decreto legislativo 3 luglio 2017 n.117. Vedi in particolare art. 55 </w:t>
      </w:r>
    </w:p>
    <w:p>
      <w:pPr>
        <w:pStyle w:val="NoSpacing"/>
        <w:ind w:left="720"/>
        <w:rPr>
          <w:rFonts w:ascii="Times New Roman" w:hAnsi="Times New Roman" w:eastAsia="Times New Roman" w:cs="Times New Roman"/>
          <w:sz w:val="20"/>
          <w:szCs w:val="20"/>
          <w:lang w:eastAsia="it-IT"/>
        </w:rPr>
      </w:pPr>
      <w:r>
        <w:rPr>
          <w:rFonts w:eastAsia="Times New Roman" w:cs="Times New Roman" w:ascii="Times New Roman" w:hAnsi="Times New Roman"/>
          <w:sz w:val="20"/>
          <w:szCs w:val="20"/>
          <w:lang w:eastAsia="it-IT"/>
        </w:rPr>
      </w:r>
    </w:p>
    <w:p>
      <w:pPr>
        <w:pStyle w:val="NoSpacing"/>
        <w:jc w:val="both"/>
        <w:rPr>
          <w:rFonts w:ascii="Times New Roman" w:hAnsi="Times New Roman" w:cs="Times New Roman"/>
          <w:b/>
          <w:bCs/>
        </w:rPr>
      </w:pPr>
      <w:r>
        <w:rPr>
          <w:rFonts w:cs="Times New Roman" w:ascii="Times New Roman" w:hAnsi="Times New Roman"/>
          <w:b/>
          <w:bCs/>
        </w:rPr>
      </w:r>
    </w:p>
    <w:p>
      <w:pPr>
        <w:pStyle w:val="NoSpacing"/>
        <w:rPr>
          <w:rFonts w:ascii="Times New Roman" w:hAnsi="Times New Roman" w:cs="Times New Roman"/>
        </w:rPr>
      </w:pPr>
      <w:r>
        <w:rPr>
          <w:rFonts w:cs="Times New Roman" w:ascii="Times New Roman" w:hAnsi="Times New Roman"/>
        </w:rPr>
      </w:r>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default"/>
  </w:font>
  <w:font w:name="Aptos Display">
    <w:charset w:val="01"/>
    <w:family w:val="roman"/>
    <w:pitch w:val="default"/>
  </w:font>
  <w:font w:name="Liberation Sans">
    <w:altName w:val="Arial"/>
    <w:charset w:val="01"/>
    <w:family w:val="swiss"/>
    <w:pitch w:val="variable"/>
  </w:font>
  <w:font w:name="DejaVu Serif">
    <w:charset w:val="01"/>
    <w:family w:val="roman"/>
    <w:pitch w:val="default"/>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54"/>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32102"/>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it-IT" w:eastAsia="en-US" w:bidi="ar-SA"/>
      <w14:ligatures w14:val="standardContextual"/>
    </w:rPr>
  </w:style>
  <w:style w:type="paragraph" w:styleId="Heading1">
    <w:name w:val="heading 1"/>
    <w:basedOn w:val="Normal"/>
    <w:next w:val="Normal"/>
    <w:link w:val="Titolo1Carattere"/>
    <w:uiPriority w:val="9"/>
    <w:qFormat/>
    <w:rsid w:val="006c386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olo2Carattere"/>
    <w:uiPriority w:val="9"/>
    <w:semiHidden/>
    <w:unhideWhenUsed/>
    <w:qFormat/>
    <w:rsid w:val="006c386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olo3Carattere"/>
    <w:uiPriority w:val="9"/>
    <w:semiHidden/>
    <w:unhideWhenUsed/>
    <w:qFormat/>
    <w:rsid w:val="006c386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olo4Carattere"/>
    <w:uiPriority w:val="9"/>
    <w:semiHidden/>
    <w:unhideWhenUsed/>
    <w:qFormat/>
    <w:rsid w:val="006c386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olo5Carattere"/>
    <w:uiPriority w:val="9"/>
    <w:semiHidden/>
    <w:unhideWhenUsed/>
    <w:qFormat/>
    <w:rsid w:val="006c386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olo6Carattere"/>
    <w:uiPriority w:val="9"/>
    <w:semiHidden/>
    <w:unhideWhenUsed/>
    <w:qFormat/>
    <w:rsid w:val="006c386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olo7Carattere"/>
    <w:uiPriority w:val="9"/>
    <w:semiHidden/>
    <w:unhideWhenUsed/>
    <w:qFormat/>
    <w:rsid w:val="006c386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olo8Carattere"/>
    <w:uiPriority w:val="9"/>
    <w:semiHidden/>
    <w:unhideWhenUsed/>
    <w:qFormat/>
    <w:rsid w:val="006c386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olo9Carattere"/>
    <w:uiPriority w:val="9"/>
    <w:semiHidden/>
    <w:unhideWhenUsed/>
    <w:qFormat/>
    <w:rsid w:val="006c386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uiPriority w:val="9"/>
    <w:qFormat/>
    <w:rsid w:val="006c3866"/>
    <w:rPr>
      <w:rFonts w:ascii="Aptos Display" w:hAnsi="Aptos Display" w:eastAsia="" w:cs="" w:asciiTheme="majorHAnsi" w:cstheme="majorBidi" w:eastAsiaTheme="majorEastAsia" w:hAnsiTheme="majorHAnsi"/>
      <w:color w:themeColor="accent1" w:themeShade="bf" w:val="0F4761"/>
      <w:sz w:val="40"/>
      <w:szCs w:val="40"/>
    </w:rPr>
  </w:style>
  <w:style w:type="character" w:styleId="Titolo2Carattere" w:customStyle="1">
    <w:name w:val="Titolo 2 Carattere"/>
    <w:basedOn w:val="DefaultParagraphFont"/>
    <w:uiPriority w:val="9"/>
    <w:semiHidden/>
    <w:qFormat/>
    <w:rsid w:val="006c3866"/>
    <w:rPr>
      <w:rFonts w:ascii="Aptos Display" w:hAnsi="Aptos Display" w:eastAsia="" w:cs="" w:asciiTheme="majorHAnsi" w:cstheme="majorBidi" w:eastAsiaTheme="majorEastAsia" w:hAnsiTheme="majorHAnsi"/>
      <w:color w:themeColor="accent1" w:themeShade="bf" w:val="0F4761"/>
      <w:sz w:val="32"/>
      <w:szCs w:val="32"/>
    </w:rPr>
  </w:style>
  <w:style w:type="character" w:styleId="Titolo3Carattere" w:customStyle="1">
    <w:name w:val="Titolo 3 Carattere"/>
    <w:basedOn w:val="DefaultParagraphFont"/>
    <w:uiPriority w:val="9"/>
    <w:semiHidden/>
    <w:qFormat/>
    <w:rsid w:val="006c3866"/>
    <w:rPr>
      <w:rFonts w:eastAsia="" w:cs="" w:cstheme="majorBidi" w:eastAsiaTheme="majorEastAsia"/>
      <w:color w:themeColor="accent1" w:themeShade="bf" w:val="0F4761"/>
      <w:sz w:val="28"/>
      <w:szCs w:val="28"/>
    </w:rPr>
  </w:style>
  <w:style w:type="character" w:styleId="Titolo4Carattere" w:customStyle="1">
    <w:name w:val="Titolo 4 Carattere"/>
    <w:basedOn w:val="DefaultParagraphFont"/>
    <w:uiPriority w:val="9"/>
    <w:semiHidden/>
    <w:qFormat/>
    <w:rsid w:val="006c3866"/>
    <w:rPr>
      <w:rFonts w:eastAsia="" w:cs="" w:cstheme="majorBidi" w:eastAsiaTheme="majorEastAsia"/>
      <w:i/>
      <w:iCs/>
      <w:color w:themeColor="accent1" w:themeShade="bf" w:val="0F4761"/>
    </w:rPr>
  </w:style>
  <w:style w:type="character" w:styleId="Titolo5Carattere" w:customStyle="1">
    <w:name w:val="Titolo 5 Carattere"/>
    <w:basedOn w:val="DefaultParagraphFont"/>
    <w:uiPriority w:val="9"/>
    <w:semiHidden/>
    <w:qFormat/>
    <w:rsid w:val="006c3866"/>
    <w:rPr>
      <w:rFonts w:eastAsia="" w:cs="" w:cstheme="majorBidi" w:eastAsiaTheme="majorEastAsia"/>
      <w:color w:themeColor="accent1" w:themeShade="bf" w:val="0F4761"/>
    </w:rPr>
  </w:style>
  <w:style w:type="character" w:styleId="Titolo6Carattere" w:customStyle="1">
    <w:name w:val="Titolo 6 Carattere"/>
    <w:basedOn w:val="DefaultParagraphFont"/>
    <w:uiPriority w:val="9"/>
    <w:semiHidden/>
    <w:qFormat/>
    <w:rsid w:val="006c3866"/>
    <w:rPr>
      <w:rFonts w:eastAsia="" w:cs="" w:cstheme="majorBidi" w:eastAsiaTheme="majorEastAsia"/>
      <w:i/>
      <w:iCs/>
      <w:color w:themeColor="text1" w:themeTint="a6" w:val="595959"/>
    </w:rPr>
  </w:style>
  <w:style w:type="character" w:styleId="Titolo7Carattere" w:customStyle="1">
    <w:name w:val="Titolo 7 Carattere"/>
    <w:basedOn w:val="DefaultParagraphFont"/>
    <w:uiPriority w:val="9"/>
    <w:semiHidden/>
    <w:qFormat/>
    <w:rsid w:val="006c3866"/>
    <w:rPr>
      <w:rFonts w:eastAsia="" w:cs="" w:cstheme="majorBidi" w:eastAsiaTheme="majorEastAsia"/>
      <w:color w:themeColor="text1" w:themeTint="a6" w:val="595959"/>
    </w:rPr>
  </w:style>
  <w:style w:type="character" w:styleId="Titolo8Carattere" w:customStyle="1">
    <w:name w:val="Titolo 8 Carattere"/>
    <w:basedOn w:val="DefaultParagraphFont"/>
    <w:uiPriority w:val="9"/>
    <w:semiHidden/>
    <w:qFormat/>
    <w:rsid w:val="006c3866"/>
    <w:rPr>
      <w:rFonts w:eastAsia="" w:cs="" w:cstheme="majorBidi" w:eastAsiaTheme="majorEastAsia"/>
      <w:i/>
      <w:iCs/>
      <w:color w:themeColor="text1" w:themeTint="d8" w:val="272727"/>
    </w:rPr>
  </w:style>
  <w:style w:type="character" w:styleId="Titolo9Carattere" w:customStyle="1">
    <w:name w:val="Titolo 9 Carattere"/>
    <w:basedOn w:val="DefaultParagraphFont"/>
    <w:uiPriority w:val="9"/>
    <w:semiHidden/>
    <w:qFormat/>
    <w:rsid w:val="006c3866"/>
    <w:rPr>
      <w:rFonts w:eastAsia="" w:cs="" w:cstheme="majorBidi" w:eastAsiaTheme="majorEastAsia"/>
      <w:color w:themeColor="text1" w:themeTint="d8" w:val="272727"/>
    </w:rPr>
  </w:style>
  <w:style w:type="character" w:styleId="TitoloCarattere" w:customStyle="1">
    <w:name w:val="Titolo Carattere"/>
    <w:basedOn w:val="DefaultParagraphFont"/>
    <w:uiPriority w:val="10"/>
    <w:qFormat/>
    <w:rsid w:val="006c3866"/>
    <w:rPr>
      <w:rFonts w:ascii="Aptos Display" w:hAnsi="Aptos Display" w:eastAsia="" w:cs="" w:asciiTheme="majorHAnsi" w:cstheme="majorBidi" w:eastAsiaTheme="majorEastAsia" w:hAnsiTheme="majorHAnsi"/>
      <w:spacing w:val="-10"/>
      <w:kern w:val="2"/>
      <w:sz w:val="56"/>
      <w:szCs w:val="56"/>
    </w:rPr>
  </w:style>
  <w:style w:type="character" w:styleId="SottotitoloCarattere" w:customStyle="1">
    <w:name w:val="Sottotitolo Carattere"/>
    <w:basedOn w:val="DefaultParagraphFont"/>
    <w:uiPriority w:val="11"/>
    <w:qFormat/>
    <w:rsid w:val="006c3866"/>
    <w:rPr>
      <w:rFonts w:eastAsia="" w:cs="" w:cstheme="majorBidi" w:eastAsiaTheme="majorEastAsia"/>
      <w:color w:themeColor="text1" w:themeTint="a6" w:val="595959"/>
      <w:spacing w:val="15"/>
      <w:sz w:val="28"/>
      <w:szCs w:val="28"/>
    </w:rPr>
  </w:style>
  <w:style w:type="character" w:styleId="CitazioneCarattere" w:customStyle="1">
    <w:name w:val="Citazione Carattere"/>
    <w:basedOn w:val="DefaultParagraphFont"/>
    <w:link w:val="Quote"/>
    <w:uiPriority w:val="29"/>
    <w:qFormat/>
    <w:rsid w:val="006c3866"/>
    <w:rPr>
      <w:i/>
      <w:iCs/>
      <w:color w:themeColor="text1" w:themeTint="bf" w:val="404040"/>
    </w:rPr>
  </w:style>
  <w:style w:type="character" w:styleId="IntenseEmphasis">
    <w:name w:val="Intense Emphasis"/>
    <w:basedOn w:val="DefaultParagraphFont"/>
    <w:uiPriority w:val="21"/>
    <w:qFormat/>
    <w:rsid w:val="006c3866"/>
    <w:rPr>
      <w:i/>
      <w:iCs/>
      <w:color w:themeColor="accent1" w:themeShade="bf" w:val="0F4761"/>
    </w:rPr>
  </w:style>
  <w:style w:type="character" w:styleId="CitazioneintensaCarattere" w:customStyle="1">
    <w:name w:val="Citazione intensa Carattere"/>
    <w:basedOn w:val="DefaultParagraphFont"/>
    <w:link w:val="IntenseQuote"/>
    <w:uiPriority w:val="30"/>
    <w:qFormat/>
    <w:rsid w:val="006c3866"/>
    <w:rPr>
      <w:i/>
      <w:iCs/>
      <w:color w:themeColor="accent1" w:themeShade="bf" w:val="0F4761"/>
    </w:rPr>
  </w:style>
  <w:style w:type="character" w:styleId="IntenseReference">
    <w:name w:val="Intense Reference"/>
    <w:basedOn w:val="DefaultParagraphFont"/>
    <w:uiPriority w:val="32"/>
    <w:qFormat/>
    <w:rsid w:val="006c3866"/>
    <w:rPr>
      <w:b/>
      <w:bCs/>
      <w:smallCaps/>
      <w:color w:themeColor="accent1" w:themeShade="bf" w:val="0F4761"/>
      <w:spacing w:val="5"/>
    </w:rPr>
  </w:style>
  <w:style w:type="character" w:styleId="InternetLink">
    <w:name w:val="Internet Link"/>
    <w:basedOn w:val="DefaultParagraphFont"/>
    <w:uiPriority w:val="99"/>
    <w:unhideWhenUsed/>
    <w:qFormat/>
    <w:rsid w:val="00b32102"/>
    <w:rPr>
      <w:color w:val="0000FF"/>
      <w:u w:val="single"/>
    </w:rPr>
  </w:style>
  <w:style w:type="character" w:styleId="FollowedHyperlink">
    <w:name w:val="FollowedHyperlink"/>
    <w:basedOn w:val="DefaultParagraphFont"/>
    <w:uiPriority w:val="99"/>
    <w:semiHidden/>
    <w:unhideWhenUsed/>
    <w:rsid w:val="00b32102"/>
    <w:rPr>
      <w:color w:themeColor="followedHyperlink" w:val="96607D"/>
      <w:u w:val="single"/>
    </w:rPr>
  </w:style>
  <w:style w:type="character" w:styleId="Strong">
    <w:name w:val="Strong"/>
    <w:basedOn w:val="DefaultParagraphFont"/>
    <w:uiPriority w:val="22"/>
    <w:qFormat/>
    <w:rsid w:val="009e7de5"/>
    <w:rPr>
      <w:b/>
      <w:bCs/>
    </w:rPr>
  </w:style>
  <w:style w:type="character" w:styleId="UnresolvedMention">
    <w:name w:val="Unresolved Mention"/>
    <w:basedOn w:val="DefaultParagraphFont"/>
    <w:uiPriority w:val="99"/>
    <w:semiHidden/>
    <w:unhideWhenUsed/>
    <w:qFormat/>
    <w:rsid w:val="003574f2"/>
    <w:rPr>
      <w:color w:val="605E5C"/>
      <w:shd w:fill="E1DFDD" w:val="clear"/>
    </w:rPr>
  </w:style>
  <w:style w:type="character" w:styleId="Hyperlink">
    <w:name w:val="Hyperlink"/>
    <w:rPr>
      <w:color w:val="000080"/>
      <w:u w:val="single"/>
    </w:rPr>
  </w:style>
  <w:style w:type="paragraph" w:styleId="Titolo">
    <w:name w:val="Tito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erif" w:hAnsi="DejaVu Serif" w:cs="Noto Sans"/>
    </w:rPr>
  </w:style>
  <w:style w:type="paragraph" w:styleId="Caption">
    <w:name w:val="caption"/>
    <w:basedOn w:val="Normal"/>
    <w:qFormat/>
    <w:pPr>
      <w:suppressLineNumbers/>
      <w:spacing w:before="120" w:after="120"/>
    </w:pPr>
    <w:rPr>
      <w:rFonts w:ascii="DejaVu Serif" w:hAnsi="DejaVu Serif" w:cs="Noto Sans"/>
      <w:i/>
      <w:iCs/>
      <w:sz w:val="24"/>
      <w:szCs w:val="24"/>
    </w:rPr>
  </w:style>
  <w:style w:type="paragraph" w:styleId="Indice">
    <w:name w:val="Indice"/>
    <w:basedOn w:val="Normal"/>
    <w:qFormat/>
    <w:pPr>
      <w:suppressLineNumbers/>
    </w:pPr>
    <w:rPr>
      <w:rFonts w:ascii="DejaVu Serif" w:hAnsi="DejaVu Serif" w:cs="Noto Sans"/>
    </w:rPr>
  </w:style>
  <w:style w:type="paragraph" w:styleId="Title">
    <w:name w:val="Title"/>
    <w:basedOn w:val="Normal"/>
    <w:next w:val="Normal"/>
    <w:link w:val="TitoloCarattere"/>
    <w:uiPriority w:val="10"/>
    <w:qFormat/>
    <w:rsid w:val="006c386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ttotitoloCarattere"/>
    <w:uiPriority w:val="11"/>
    <w:qFormat/>
    <w:rsid w:val="006c3866"/>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zioneCarattere"/>
    <w:uiPriority w:val="29"/>
    <w:qFormat/>
    <w:rsid w:val="006c3866"/>
    <w:pPr>
      <w:spacing w:before="160" w:after="160"/>
      <w:jc w:val="center"/>
    </w:pPr>
    <w:rPr>
      <w:i/>
      <w:iCs/>
      <w:color w:themeColor="text1" w:themeTint="bf" w:val="404040"/>
    </w:rPr>
  </w:style>
  <w:style w:type="paragraph" w:styleId="ListParagraph">
    <w:name w:val="List Paragraph"/>
    <w:basedOn w:val="Normal"/>
    <w:uiPriority w:val="34"/>
    <w:qFormat/>
    <w:rsid w:val="006c3866"/>
    <w:pPr>
      <w:spacing w:before="0" w:after="160"/>
      <w:ind w:left="720"/>
      <w:contextualSpacing/>
    </w:pPr>
    <w:rPr/>
  </w:style>
  <w:style w:type="paragraph" w:styleId="IntenseQuote">
    <w:name w:val="Intense Quote"/>
    <w:basedOn w:val="Normal"/>
    <w:next w:val="Normal"/>
    <w:link w:val="CitazioneintensaCarattere"/>
    <w:uiPriority w:val="30"/>
    <w:qFormat/>
    <w:rsid w:val="006c3866"/>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uiPriority w:val="1"/>
    <w:qFormat/>
    <w:rsid w:val="00b32102"/>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it-IT" w:eastAsia="en-US" w:bidi="ar-SA"/>
      <w14:ligatures w14:val="standardContextual"/>
    </w:rPr>
  </w:style>
  <w:style w:type="paragraph" w:styleId="NormalWeb">
    <w:name w:val="Normal (Web)"/>
    <w:basedOn w:val="Normal"/>
    <w:uiPriority w:val="99"/>
    <w:semiHidden/>
    <w:unhideWhenUsed/>
    <w:qFormat/>
    <w:rsid w:val="00b32102"/>
    <w:pPr>
      <w:spacing w:lineRule="auto" w:line="240" w:beforeAutospacing="1" w:afterAutospacing="1"/>
    </w:pPr>
    <w:rPr>
      <w:rFonts w:ascii="Times New Roman" w:hAnsi="Times New Roman" w:eastAsia="Times New Roman" w:cs="Times New Roman"/>
      <w:kern w:val="0"/>
      <w:sz w:val="24"/>
      <w:szCs w:val="24"/>
      <w:lang w:eastAsia="it-IT"/>
      <w14:ligatures w14:val="none"/>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vita.it/it/article/2021/06/29/tommasini-il-volontariato-non-abbia-paura-del-conflitto/159834/" TargetMode="External"/><Relationship Id="rId3" Type="http://schemas.openxmlformats.org/officeDocument/2006/relationships/hyperlink" Target="https://www.treccani.it/enciclopedia/la-cittadinanza-attiva-nascita-e-sviluppo-di-un-anomalia_%28L%27Italia-e-le-sue-Regioni%29/"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2187</TotalTime>
  <Application>LibreOffice/24.8.2.1$Linux_X86_64 LibreOffice_project/0f794b6e29741098670a3b95d60478a65d05ef13</Application>
  <AppVersion>15.0000</AppVersion>
  <Pages>1</Pages>
  <Words>1141</Words>
  <Characters>6510</Characters>
  <CharactersWithSpaces>7636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2024-08-08T16:11:00Z</dcterms:created>
  <dc:creator>Raimondo Raimondi</dc:creator>
  <dc:description/>
  <dc:language>it-IT</dc:language>
  <cp:lastModifiedBy/>
  <dcterms:modified xsi:type="dcterms:W3CDTF">2025-01-26T17:58:43Z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